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EIX</w:t>
      </w:r>
      <w:r>
        <w:rPr>
          <w:rFonts w:ascii="Calibri" w:hAnsi="Calibri"/>
          <w:b/>
          <w:color w:val="1A2010"/>
          <w:sz w:val="40"/>
        </w:rPr>
        <w:t xml:space="preserve">  Edison International</w:t>
      </w:r>
    </w:p>
    <w:p>
      <w:pPr>
        <w:spacing w:after="120"/>
      </w:pPr>
      <w:r>
        <w:rPr>
          <w:rFonts w:ascii="Calibri" w:hAnsi="Calibri"/>
          <w:b/>
          <w:color w:val="6E8450"/>
          <w:sz w:val="18"/>
        </w:rPr>
        <w:t>GROWTH SLEEVE · 2026-10-21 · Inspire: 37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United States</w:t>
      </w:r>
    </w:p>
    <w:p>
      <w:pPr>
        <w:spacing w:after="80"/>
      </w:pPr>
      <w:r>
        <w:rPr>
          <w:rFonts w:ascii="Calibri" w:hAnsi="Calibri"/>
          <w:b w:val="0"/>
          <w:color w:val="3A4A28"/>
          <w:sz w:val="20"/>
        </w:rPr>
        <w:t>Edison International is the parent company of Southern California Edison (SCE), one of the largest electric utilities in the United States, serving approximately 5 million customer accounts across a 50,000-square-mile service territory in central, coastal, and southern California. Founded in 1886, the company operates under CEO Pedro Pizarro while navigating significant wildfire litigation. Q2 2026 core EPS was $1.54 (up 59% YoY), with year-to-date core EPS of $2.97, and management reaffirmed FY2026 guidance of $5.90-$6.20 with a long-term 5-7% EPS growth target [1]. Wildfire-related charges of $1.3B were recorded in Q1 2026, partially offset by $917M in self-insurance recoveries [2].</w:t>
      </w:r>
    </w:p>
    <w:p>
      <w:r>
        <w:rPr>
          <w:rFonts w:ascii="Calibri" w:hAnsi="Calibri"/>
          <w:b/>
          <w:color w:val="6E8450"/>
          <w:sz w:val="18"/>
        </w:rPr>
        <w:t>13,725 Employees · https://www.edison.com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Edison has invested in grid modernization and wildfire mitigation infrastructure, completing a $2B Woolsey Fire cost recovery securitization and advancing its RAMP (Risk Assessment and Mitigation Phase) grid hardening program [1][2]. These represent necessary operational improvements rather than transformative business model pivots. AI Deployment (1/2): SCE's AWARE grid monitoring platform uses AI to detect grid faults, and an internal innovation program produced an AI proof of concept built by frontline staff — indicating real, if early, AI deployment in grid operations [3]. However, no quantified AI-driven savings have been publicly reported. Market Share (1/2): Southern California Edison serves a regulated monopoly territory of 50,000 square miles and ~5 million customer accounts with no competitive threat to its core franchise [1]. Market position is regulatory rather than competitively earned. Product Pipeline (1/2): The RAMP investment and 7% rate base growth plan provide infrastructure investment visibility, and the clean energy transition roadmap includes specific capacity additions [1]. These are regulatory capex programs with defined timelines. R&amp;D Intensity (0/1): Utilities generally invest minimally in R&amp;D relative to revenue, relying on vendor technology and regulatory cost recovery mechanisms.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Edison International's purpose centers on providing clean, safe, reliable, and affordable energy to Southern California communities — a mission CEO Pedro Pizarro has championed since 2016 with an emphasis on resilience, affordability, and decarbonization [3][5]. The 140-year operating history provides context, but the mission is standard for a regulated utility and does not articulate a transformative vision. Community Impact (1/2): The 2026 SEPA Power Player Award recognized Pizarro's 'strategic vision centered on resilience, affordability, decarbonization, innovation, and long-term community and industry impact' [5]. Edison's wildfire recovery programs demonstrate community engagement, though the company is also the alleged cause of wildfire damage. Employee Retention (0/2): No specific retention, tenure, or satisfaction data was found for Edison's 13,725-employee workforce. Insider Buying (0/2): Insiders hold only 0.26% of shares, and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(portfolio-assigned sleeve). Forward P/E of 8.69x (based on $56.53 price and $6.50 forward EPS) is deeply below the 20x target, scoring 1.0 [1]. ROE of 19.7% exceeds the 15% target (score 1.0, 2x weight), reflecting strong capital efficiency for a utility [1]. Revenue growth YoY of -4.1% (most recent quarter) scores 0.53, though annual 2025 vs 2024 growth was +9.8% ($19.3B vs $17.6B) [1]. Estimated 5-year revenue CAGR of approximately 7% scores 0.80 (2x weight), solid for a regulated utility growing through rate base expansion. Profit margin of 19.3% scores 0.96, approaching the 20% target. D/E of 228% is elevated (score 0.31), reflecting $43.5B in total debt — capital-intensive utility structure with minimal cash ($242M) [1]. Forward PEG of 2.49 scores 0.26 (2x weight). Weighted sum: 7.24/10 = 7 (rounded). Liquidity is ample: $297.6M daily dollar volume ($56.53 x 5.27M avg volume)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Edison International carries the weight of 140 years of continuous operation since 1886, lending inherent credibility to its long-term orientation. CEO Pedro Pizarro has championed clean energy transition and climate policy since 2016, positioning Edison as a forward-looking utility. However, the wildfire liabilities — including allegations that Edison 'deliberately prioritized profits over safety' — and the SB 492 legislative failure that leaves utilities exposed to potentially billions in unresolved costs reveal a tension between stated long-term purpose and near-term operational decisions. The company is at its lowest possible investment-grade credit rating [2][4].</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Edison's 140-year history of powering Southern California communities, combined with Pizarro's advocacy for clean energy and climate policy, establishes a genuine purpose that transcends quarterly earnings [3][5]. The RAMP investment and clean energy transition demonstrate decisions guided by long-term community service. However, the wildfire controversies and allegations of deferred maintenance for financial reasons directly undermine the cause — a Just Cause validated by 140 years is currently being tested by existential legal and regulatory challenges [2][4].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Edison added M. Susan Hardwick as an independent director in April 2026 to strengthen governance, and the SEPA award recognized organizational leadership [3][5]. The workforce of 13,725 is large enough for organizational complexity, but no specific data on employee tenure, voluntary turnover, or workplace satisfaction was found. The ongoing wildfire litigation creates organizational stress and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monopoly, Edison's competitive dynamics are limited. The company partners with technology companies (Microsoft, Google, AWS) for grid innovation, but this reflects procurement rather than competitive learning [3]. No evidence of management framing competitive dynamics as motivation for self-improvement was found.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Edison is executing a meaningful clean energy transition, shifting its generation mix toward renewables and investing in grid modernization, wildfire mitigation, and AI-powered monitoring technologies [1][3]. The Woolsey Fire securitization demonstrated financial adaptability. However, Edison remains fundamentally a regulated electric utility — the evolution is in how it generates and distributes power, not a reinvention of the business model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Edison committed to the RAMP wildfire mitigation investment and wildfire recovery programs despite near-term cost pressure, and CEO Pizarro has been publicly vocal about the consequences of failed wildfire reform legislation — warning that SB 492's narrow scope could leave customers facing hundreds of millions in added costs [4]. However, the underlying question of whether preventive maintenance was deferred to protect margins raises concerns about whether courageous leadership extended to making costly maintenance investments before they became legally required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Edison International at $56.53 and 8.7x forward core earnings offers a deeply discounted regulated utility with significant upside if wildfire liabilities resolve favorably. Q2 2026 core EPS surged 59% to $1.54, bringing YTD core EPS to $2.97, and FY2026 guidance of $5.90-$6.20 implies a forward P/E well below utility peers trading at 18-20x [1]. ROE of 19.7% and profit margin of 19.3% are strong for the utility sector. The 5-7% long-term EPS growth target through 2030, supported by rate base growth and the RAMP grid hardening investment, provides a visible earnings trajectory [1]. The dividend yield of 6.21% with a conservative 35.7% payout ratio and 20 consecutive years of growth offers substantial income [1]. The ALIGNED Inspire Impact Score (37) with 14 positive ESG attributions and no negatives makes EIX accessible to faith-based mandates.</w:t>
      </w:r>
    </w:p>
    <w:p>
      <w:pPr>
        <w:spacing w:after="120"/>
      </w:pPr>
      <w:r>
        <w:rPr>
          <w:rFonts w:ascii="Calibri" w:hAnsi="Calibri"/>
          <w:b w:val="0"/>
          <w:color w:val="3A4A28"/>
          <w:sz w:val="20"/>
        </w:rPr>
        <w:t>The bear case is dominated by wildfire liability risk that overshadows otherwise strong fundamentals. Edison recorded $1.3B in wildfire losses in Q1 2026 alone, management estimates 30,000 claims are currently in litigation, and the company is at the lowest possible investment-grade credit ratings [2][4]. D/E of 228% reflects $43.5B in total debt against only $242M in cash, leaving minimal financial cushion. CEO Pizarro warned that failed wildfire reform through SB 492 could leave utilities facing hundreds of millions in additional costs, and the legislation's final form was narrower than expected [4]. The stock has declined from $74.66 to $56.53 (down 24%) since August 2026, reflecting deteriorating investor confidence. California's inverse condemnation doctrine holds utilities liable regardless of negligence, creating a structural and essentially uninsurable business model risk. The trailing P/E of 5.83x includes one-time wildfire recovery gains that inflate earnings, and quarterly revenue declined 4.1% in the most recent period. The 5-year revenue CAGR of ~7% reflects rate increases rather than organic demand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Favorable wildfire litigation outcomes or California legislative reform could restructure the inverse condemnation framework and reduce Edison's future equipment liability exposure, removing the primary valuation overhang that depresses the stock 50%+ below utility peer multiples [2][4]</w:t>
      </w:r>
    </w:p>
    <w:p>
      <w:pPr>
        <w:spacing w:before="40" w:after="40"/>
        <w:ind w:left="283"/>
      </w:pPr>
      <w:r>
        <w:rPr>
          <w:rFonts w:ascii="Calibri" w:hAnsi="Calibri"/>
          <w:b/>
          <w:color w:val="4A6B25"/>
          <w:sz w:val="20"/>
        </w:rPr>
        <w:t xml:space="preserve">2. </w:t>
      </w:r>
      <w:r>
        <w:rPr>
          <w:rFonts w:ascii="Calibri" w:hAnsi="Calibri"/>
          <w:b w:val="0"/>
          <w:color w:val="3A4A28"/>
          <w:sz w:val="20"/>
        </w:rPr>
        <w:t>Rate base growth of 7% through grid hardening and clean energy investments, supporting the 5-7% EPS growth target through 2030 with regulatory cost recovery mechanisms [1]</w:t>
      </w:r>
    </w:p>
    <w:p>
      <w:pPr>
        <w:spacing w:before="40" w:after="40"/>
        <w:ind w:left="283"/>
      </w:pPr>
      <w:r>
        <w:rPr>
          <w:rFonts w:ascii="Calibri" w:hAnsi="Calibri"/>
          <w:b/>
          <w:color w:val="4A6B25"/>
          <w:sz w:val="20"/>
        </w:rPr>
        <w:t xml:space="preserve">3. </w:t>
      </w:r>
      <w:r>
        <w:rPr>
          <w:rFonts w:ascii="Calibri" w:hAnsi="Calibri"/>
          <w:b w:val="0"/>
          <w:color w:val="3A4A28"/>
          <w:sz w:val="20"/>
        </w:rPr>
        <w:t>AI data center expansion in Southern California driving incremental electricity demand, increasing SCE's utilization and rate base growth opportunity while the AWARE AI platform improves grid reliability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Wildfire liabilities with 30,000 estimated claims in litigation and $1.3B in Q1 2026 losses alone could overwhelm the California Wildfire Fund and self-insurance, with total exposure potentially in the billions given the inverse condemnation doctrine [2][4]</w:t>
      </w:r>
    </w:p>
    <w:p>
      <w:pPr>
        <w:spacing w:before="40" w:after="40"/>
        <w:ind w:left="283"/>
      </w:pPr>
      <w:r>
        <w:rPr>
          <w:rFonts w:ascii="Calibri" w:hAnsi="Calibri"/>
          <w:b/>
          <w:color w:val="4A6B25"/>
          <w:sz w:val="20"/>
        </w:rPr>
        <w:t xml:space="preserve">2. </w:t>
      </w:r>
      <w:r>
        <w:rPr>
          <w:rFonts w:ascii="Calibri" w:hAnsi="Calibri"/>
          <w:b w:val="0"/>
          <w:color w:val="3A4A28"/>
          <w:sz w:val="20"/>
        </w:rPr>
        <w:t>D/E of 228% ($43.5B debt, $242M cash) at the lowest investment-grade credit rating — a downgrade to junk would trigger covenant violations and severely constrain capital access during the most capital-intensive period of grid modernization [1][4]</w:t>
      </w:r>
    </w:p>
    <w:p>
      <w:pPr>
        <w:spacing w:before="40" w:after="40"/>
        <w:ind w:left="283"/>
      </w:pPr>
      <w:r>
        <w:rPr>
          <w:rFonts w:ascii="Calibri" w:hAnsi="Calibri"/>
          <w:b/>
          <w:color w:val="4A6B25"/>
          <w:sz w:val="20"/>
        </w:rPr>
        <w:t xml:space="preserve">3. </w:t>
      </w:r>
      <w:r>
        <w:rPr>
          <w:rFonts w:ascii="Calibri" w:hAnsi="Calibri"/>
          <w:b w:val="0"/>
          <w:color w:val="3A4A28"/>
          <w:sz w:val="20"/>
        </w:rPr>
        <w:t>SB 492 wildfire reform legislation passed in narrower form than expected, failing to substantially reduce utilities' liabilities — CEO Pizarro warned this could mean hundreds of millions in additional cost exposure that the stock has not yet priced in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Edison International's core utility business is structurally immune to AI disruption. The generation, transmission, and distribution of electricity to 5 million customer accounts requires physical infrastructure — power plants, transmission lines, substations, and distribution networks — that AI cannot displace [1]. The regulated monopoly structure provides a franchise moat with no competitive mechanism for AI-driven displacement. Critically, AI data center expansion is driving massive new electricity demand in Southern California, making Edison a direct beneficiary rather than victim of AI adoption [3]. SCE's AWARE AI-powered grid monitoring platform represents the company's own use of AI for operational resilience. Southern California's wildfire risk and grid constraints may limit the company's ability to fully capitalize on AI-driven demand growth, preventing a 9. AI Opportunity (0/1): Edison does not generate direct AI revenue — it is a regulated utility that benefits from AI-driven demand growth but does not sell AI products or services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Edison International Q2 2026 Earnings — Core EPS $1.54 (+59% YoY), YTD $2.97, FY2026 Guidance $5.90-$6.20, Long-Term 5-7% Growth Target, Webull/MarketBeat, July 2026</w:t>
      </w:r>
    </w:p>
    <w:p>
      <w:pPr>
        <w:spacing w:before="20" w:after="20"/>
        <w:ind w:left="170"/>
      </w:pPr>
      <w:r>
        <w:rPr>
          <w:rFonts w:ascii="Calibri" w:hAnsi="Calibri"/>
          <w:b/>
          <w:color w:val="4A6B25"/>
          <w:sz w:val="15"/>
        </w:rPr>
        <w:t xml:space="preserve">2. </w:t>
      </w:r>
      <w:r>
        <w:rPr>
          <w:rFonts w:ascii="Calibri" w:hAnsi="Calibri"/>
          <w:b w:val="0"/>
          <w:color w:val="3A4A28"/>
          <w:sz w:val="17"/>
        </w:rPr>
        <w:t>Edison International Q1 2026 — Revenue $4.10B, $1.3B Wildfire Losses, $917M Self-Insurance Recoveries, $295M Wildfire Fund Recovery, 30,000 Estimated Claims, Sentisense/Aggregators, April 2026</w:t>
      </w:r>
    </w:p>
    <w:p>
      <w:pPr>
        <w:spacing w:before="20" w:after="20"/>
        <w:ind w:left="170"/>
      </w:pPr>
      <w:r>
        <w:rPr>
          <w:rFonts w:ascii="Calibri" w:hAnsi="Calibri"/>
          <w:b/>
          <w:color w:val="4A6B25"/>
          <w:sz w:val="15"/>
        </w:rPr>
        <w:t xml:space="preserve">3. </w:t>
      </w:r>
      <w:r>
        <w:rPr>
          <w:rFonts w:ascii="Calibri" w:hAnsi="Calibri"/>
          <w:b w:val="0"/>
          <w:color w:val="3A4A28"/>
          <w:sz w:val="17"/>
        </w:rPr>
        <w:t>Futurum Group — Edison International Board Refresh (M. Susan Hardwick), AI/Digital Ambitions, AWARE Grid Platform, CEO Pizarro Innovation Vision, 2026</w:t>
      </w:r>
    </w:p>
    <w:p>
      <w:pPr>
        <w:spacing w:before="20" w:after="20"/>
        <w:ind w:left="170"/>
      </w:pPr>
      <w:r>
        <w:rPr>
          <w:rFonts w:ascii="Calibri" w:hAnsi="Calibri"/>
          <w:b/>
          <w:color w:val="4A6B25"/>
          <w:sz w:val="15"/>
        </w:rPr>
        <w:t xml:space="preserve">4. </w:t>
      </w:r>
      <w:r>
        <w:rPr>
          <w:rFonts w:ascii="Calibri" w:hAnsi="Calibri"/>
          <w:b w:val="0"/>
          <w:color w:val="3A4A28"/>
          <w:sz w:val="17"/>
        </w:rPr>
        <w:t>SEC 10-Q FY2026 and StockTwits/News — SB 492 Wildfire Reform Legislation Narrower Than Expected, CEO Pizarro Warning on Cost Exposure, Credit Rating Risks, 2026</w:t>
      </w:r>
    </w:p>
    <w:p>
      <w:pPr>
        <w:spacing w:before="20" w:after="20"/>
        <w:ind w:left="170"/>
      </w:pPr>
      <w:r>
        <w:rPr>
          <w:rFonts w:ascii="Calibri" w:hAnsi="Calibri"/>
          <w:b/>
          <w:color w:val="4A6B25"/>
          <w:sz w:val="15"/>
        </w:rPr>
        <w:t xml:space="preserve">5. </w:t>
      </w:r>
      <w:r>
        <w:rPr>
          <w:rFonts w:ascii="Calibri" w:hAnsi="Calibri"/>
          <w:b w:val="0"/>
          <w:color w:val="3A4A28"/>
          <w:sz w:val="17"/>
        </w:rPr>
        <w:t>SEPA Power Player Awards 2026 — Pedro Pizarro Recognized for Grid Resilience, Innovation, Affordability, Decarbonization, and Community Impact</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