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ELF</w:t>
      </w:r>
      <w:r>
        <w:rPr>
          <w:rFonts w:ascii="Calibri" w:hAnsi="Calibri"/>
          <w:b/>
          <w:color w:val="1A2010"/>
          <w:sz w:val="40"/>
        </w:rPr>
        <w:t xml:space="preserve">  e.l.f. Beauty, Inc.</w:t>
      </w:r>
    </w:p>
    <w:p>
      <w:pPr>
        <w:spacing w:after="120"/>
      </w:pPr>
      <w:r>
        <w:rPr>
          <w:rFonts w:ascii="Calibri" w:hAnsi="Calibri"/>
          <w:b/>
          <w:color w:val="6E8450"/>
          <w:sz w:val="18"/>
        </w:rPr>
        <w:t>GROWTH SLEEVE · 2026-09-12 · Inspire: -49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Defensive · Household &amp; Personal Products · NYSE · United States</w:t>
      </w:r>
    </w:p>
    <w:p>
      <w:pPr>
        <w:spacing w:after="80"/>
      </w:pPr>
      <w:r>
        <w:rPr>
          <w:rFonts w:ascii="Calibri" w:hAnsi="Calibri"/>
          <w:b w:val="0"/>
          <w:color w:val="3A4A28"/>
          <w:sz w:val="20"/>
        </w:rPr>
        <w:t>e.l.f. Beauty develops, markets, and sells cosmetics and skin care products under the e.l.f. Cosmetics, e.l.f. Skin, Well People, Naturium, and rhode brand names, sold through national and international retailers and direct-to-consumer e-commerce. Founded in 2004 as a disruptor built on extraordinary value ($3-$14 core price points), the company expanded into premium skincare through acquisitions of Naturium and rhode (Hailey Bieber's brand, ~$1B). FY2026 revenue reached $1.64B (+24.6% YoY), capping 29 consecutive quarters of double-digit growth. Headquartered in Oakland, California.</w:t>
      </w:r>
    </w:p>
    <w:p>
      <w:r>
        <w:rPr>
          <w:rFonts w:ascii="Calibri" w:hAnsi="Calibri"/>
          <w:b/>
          <w:color w:val="6E8450"/>
          <w:sz w:val="18"/>
        </w:rPr>
        <w:t>1,300 Employees · https://www.elfbeauty.com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FY2026 revenue grew 24.6% to $1.64B, capping 29 consecutive quarters of double-digit growth and averaging 20% quarterly net sales growth for seven straight years, with the $1B rhode acquisition contributing $293.5M and pulling the company decisively into premium DTC skincare [1][2]. AI Deployment (2/2): Chief Digital &amp; Information Officer Ekta Chopra has deployed generative AI in production, including 'e.l.f.uencer' (an AI tool that drafts responses to consumer social comments, human-reviewed before posting), AI-powered skin analysis, and 85 agentic AI use cases piloted across data clean rooms and digital twins driving 'intelligent promotions' [3][4]. Market Share (1/2): The company has consistently outgrown the broader beauty category for seven years per Forbes, achieving $1.6B in global retail sales, though no specific basis-point share-gain figures were disclosed [2]. Product Pipeline (1/2): International expansion and continued integration of rhode and Naturium are underway, but no next-generation product was named with a specific launch date. R&amp;D Intensity (1/1): e.l.f.'s core competitive advantage is rapid concept-to-shelf product velocity, reinforced by investment in AI-powered skin analysis and sustainable packaging, above typical mass-beauty peer R&amp;D commitment [4].</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e.l.f.'s stated purpose is 'to make the world a better place for every eye, lip and face,' with a vision to disrupt industry norms and connect communities through positivity, inclusivity and accessibility — specific and thoughtful, and validated by two decades of sub-$14 price architecture that has genuinely democratized cosmetics access [5]. Community Impact (0/2): No specific charitable foundation, dollar-denominated community program, or philanthropic initiative was identified in research; the Impact Report highlights sustainability commitments but lacks distinctive, large-scale community investment [6]. Employee Retention (0/2): Only 45% of Glassdoor reviewers would recommend working at e.l.f. to a friend, with reviews citing leaders with 'huge egos' who are 'unapproachable and quick to verbally abuse' and an environment described as 'reactive, political, and at times hostile' [7]. Insider Buying (0/2): Insiders were net sellers over the trailing 12 months — no meaningful net insider buying by executives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Revenue growth is exceptional — 24.59% YoY and a 5-year CAGR of 37.61% both score at the maximum, reflecting e.l.f.'s sustained top-line momentum [1][2]. D/E of 80% is slightly above the 70% target but manageable (score 0.96). However, profitability remains depressed following the ~$1B rhode acquisition and IEEPA tariff absorption: profit margin of 3.38% scores 0.17 against the 20% target, and ROE of 6.04% scores 0.40 (with 2x weight) [8]. Following the stock's 42% rally from $73 to $104, Forward P/E expanded to 34.88x (score 0.63) and PEG to 2.87, nearly hitting the 3.0 floor (score 0.07 with 2x weight). The company generated $280M in trailing FCF, suggesting underlying cash generation remains strong despite depressed GAAP profitability. Liquidity check passes: 2.57M shares x $104.31 = ~$268M daily traded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e.l.f. has a genuine, specific purpose around beauty accessibility that has shaped two decades of pricing strategy, and the costly decision to absorb ~$58.5M in IEEPA tariff impact rather than raise consumer prices reflects principled conviction. But Sinek would flag the low-trust signals in employee reviews, net insider selling, and market-share-framed competitive language ('outgrowing the industry') as evidence this is still largely a finite-minded growth story rather than a cause-driven infinite player.</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The purpose of making beauty accessible 'for every eye, lip and face' is genuine and has been lived through consistently low price points since 2004, and CEO Tarang Amin (11+ year tenure) references it in strategic framing [5]. However, it has not yet been tested through a true existential crisis or multi-decade consistency the way a Sinek exemplar requires.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data shows only 45% of employees would recommend e.l.f. to a friend, with reviews describing leaders with 'huge egos' who are 'unapproachable and quick to verbally abuse' and an environment characterized as 'reactive, political, and at times hostile' — a clear low-trust signal despite CEO Amin's stated commitment to transparency and equity grants for all employees [7].</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Public messaging emphasizes 'outgrowing the beauty industry' and disrupting legacy players rather than acknowledging specific competitors' strengths as a spur for self-improvement, reflecting a market-share-oriented rather than infinite competitive mindset [2].</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$1B rhode acquisition and build-out of Naturium and Well People diversified e.l.f. well beyond its original mass color-cosmetics core into premium DTC skincare, a meaningful but not full business-model reinvention [1].</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Absorbing roughly $58.5M in IEEPA tariff costs in FY2026 without materially raising consumer prices protects the affordability mission at a direct cost to margins (profit margin compressed to 3.38%), and the $1B rhode bet integrated a much higher-priced DTC brand into a value-priced portfolio at real execution risk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e.l.f. Beauty delivered FY2026 revenue of $1.64B (+24.6% YoY), extending 29 consecutive quarters of double-digit growth and averaging 20% quarterly growth for seven years — a rare track record in consumer products [1][2]. The $1B rhode acquisition contributed $293.5M in its first full fiscal year and pulled e.l.f. into premium DTC skincare alongside continued Naturium expansion, while e-commerce grew 63% and now represents 24% of sales [1]. The company generates $280M in trailing FCF and is deploying AI in production (generative consumer-response tools, AI skin analysis, 85 agentic pilots) under CDIO Ekta Chopra, positioning it ahead of most mass-beauty peers on digital sophistication [3][4]. International expansion remains in early innings, providing a long growth runway.</w:t>
      </w:r>
    </w:p>
    <w:p>
      <w:pPr>
        <w:spacing w:after="120"/>
      </w:pPr>
      <w:r>
        <w:rPr>
          <w:rFonts w:ascii="Calibri" w:hAnsi="Calibri"/>
          <w:b w:val="0"/>
          <w:color w:val="3A4A28"/>
          <w:sz w:val="20"/>
        </w:rPr>
        <w:t>The bear case centers on margin collapse, valuation stretch, and culture risk. FY2026 net income fell 77% to $26.3M as ~$58.5M in IEEPA tariff costs and rhode integration expenses compressed profit margin to 3.38% and ROE to 6.04% [1]. Despite these fundamentals, the stock has rallied 42% from $73 to $104, expanding Forward P/E to 34.88x and PEG to 2.87 — valuation levels that price in significant margin recovery and sustained growth that current earnings do not yet support [8]. Insiders were net sellers over the trailing year, and Glassdoor reviews citing a 'reactive, political, hostile' culture (only 45% recommend rate) raise questions about organizational health beneath the growth headline [7]. The business remains structurally dependent on TikTok-driven viral discovery, a channel-concentration risk, and the beauty industry faces intensifying competition from incumbents adopting e.l.f.'s value-plus-quality playbook.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scaling of rhode, which contributed $293.5M in its first full fiscal year — further international rollout and margin accretion as integration costs are absorbed could meaningfully improve profitability [1]</w:t>
      </w:r>
    </w:p>
    <w:p>
      <w:pPr>
        <w:spacing w:before="40" w:after="40"/>
        <w:ind w:left="283"/>
      </w:pPr>
      <w:r>
        <w:rPr>
          <w:rFonts w:ascii="Calibri" w:hAnsi="Calibri"/>
          <w:b/>
          <w:color w:val="4A6B25"/>
          <w:sz w:val="20"/>
        </w:rPr>
        <w:t xml:space="preserve">2. </w:t>
      </w:r>
      <w:r>
        <w:rPr>
          <w:rFonts w:ascii="Calibri" w:hAnsi="Calibri"/>
          <w:b w:val="0"/>
          <w:color w:val="3A4A28"/>
          <w:sz w:val="20"/>
        </w:rPr>
        <w:t>85 agentic AI pilots moving to full production under CDIO Ekta Chopra, with potential to drive marketing ROI improvements, e-commerce conversion gains, and operational cost savings from the depressed 3.38% margin level [3][4]</w:t>
      </w:r>
    </w:p>
    <w:p>
      <w:pPr>
        <w:spacing w:before="40" w:after="40"/>
        <w:ind w:left="283"/>
      </w:pPr>
      <w:r>
        <w:rPr>
          <w:rFonts w:ascii="Calibri" w:hAnsi="Calibri"/>
          <w:b/>
          <w:color w:val="4A6B25"/>
          <w:sz w:val="20"/>
        </w:rPr>
        <w:t xml:space="preserve">3. </w:t>
      </w:r>
      <w:r>
        <w:rPr>
          <w:rFonts w:ascii="Calibri" w:hAnsi="Calibri"/>
          <w:b w:val="0"/>
          <w:color w:val="3A4A28"/>
          <w:sz w:val="20"/>
        </w:rPr>
        <w:t>Potential tariff relief or supply-chain diversification reducing the ~$58.5M annual IEEPA cost drag that compressed FY2026 net income by 77% — margin normalization alone could double net income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Profit margin compressed to 3.38% and ROE to 6.04% on tariff costs and rhode integration — a second year of sub-5% margins would undermine the growth narrative at a 34.88x Forward P/E multiple [1][8]</w:t>
      </w:r>
    </w:p>
    <w:p>
      <w:pPr>
        <w:spacing w:before="40" w:after="40"/>
        <w:ind w:left="283"/>
      </w:pPr>
      <w:r>
        <w:rPr>
          <w:rFonts w:ascii="Calibri" w:hAnsi="Calibri"/>
          <w:b/>
          <w:color w:val="4A6B25"/>
          <w:sz w:val="20"/>
        </w:rPr>
        <w:t xml:space="preserve">2. </w:t>
      </w:r>
      <w:r>
        <w:rPr>
          <w:rFonts w:ascii="Calibri" w:hAnsi="Calibri"/>
          <w:b w:val="0"/>
          <w:color w:val="3A4A28"/>
          <w:sz w:val="20"/>
        </w:rPr>
        <w:t>Employee culture signals remain weak (45% Glassdoor recommend rate, 'reactive and hostile' reports) alongside net insider selling, suggesting internal stakeholders are less bullish than the stock price implies [7]</w:t>
      </w:r>
    </w:p>
    <w:p>
      <w:pPr>
        <w:spacing w:before="40" w:after="40"/>
        <w:ind w:left="283"/>
      </w:pPr>
      <w:r>
        <w:rPr>
          <w:rFonts w:ascii="Calibri" w:hAnsi="Calibri"/>
          <w:b/>
          <w:color w:val="4A6B25"/>
          <w:sz w:val="20"/>
        </w:rPr>
        <w:t xml:space="preserve">3. </w:t>
      </w:r>
      <w:r>
        <w:rPr>
          <w:rFonts w:ascii="Calibri" w:hAnsi="Calibri"/>
          <w:b w:val="0"/>
          <w:color w:val="3A4A28"/>
          <w:sz w:val="20"/>
        </w:rPr>
        <w:t>Heavy reliance on TikTok and social-algorithm-driven discovery for brand visibility creates concentration risk if platform dynamics, algorithms, or regulatory actions shift unfavorably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e.l.f.'s physical product manufacturing, retail distribution relationships, and a 3.5M-member Beauty Squad loyalty community create moats AI cannot directly substitute, and the company is using AI as a marketing and analytics tool rather than facing existential AI substitution risk [3][4]. The company's outsized dependence on TikTok/social algorithmic discovery for brand visibility (the #EyesLipsFace campaign generated 10B+ views) is a real platform-concentration risk, though management is diversifying channels and investing in owned AI tools to reduce that dependency. AI Opportunity (1/1): Deployed, named AI products include the generative 'e.l.f.uencer' consumer-response tool, AI-powered skin analysis, and 85 agentic AI pilots moving to production under CDIO Ekta Chopra's cross-functional AI steering committee [3][4].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p>
    <w:p>
      <w:pPr>
        <w:spacing w:before="80" w:after="40"/>
      </w:pPr>
      <w:r>
        <w:rPr>
          <w:rFonts w:ascii="Calibri" w:hAnsi="Calibri"/>
          <w:b/>
          <w:color w:val="6E8450"/>
          <w:sz w:val="18"/>
        </w:rPr>
        <w:t xml:space="preserve">Positive: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e.l.f. Beauty Q4/Full Year FY2026 Results — Revenue $1.64B (+24.6% YoY), rhode $293.5M contribution, net income $26.3M (-77%), investor.elfbeauty.com, May 20, 2026</w:t>
      </w:r>
    </w:p>
    <w:p>
      <w:pPr>
        <w:spacing w:before="20" w:after="20"/>
        <w:ind w:left="170"/>
      </w:pPr>
      <w:r>
        <w:rPr>
          <w:rFonts w:ascii="Calibri" w:hAnsi="Calibri"/>
          <w:b/>
          <w:color w:val="4A6B25"/>
          <w:sz w:val="15"/>
        </w:rPr>
        <w:t xml:space="preserve">2. </w:t>
      </w:r>
      <w:r>
        <w:rPr>
          <w:rFonts w:ascii="Calibri" w:hAnsi="Calibri"/>
          <w:b w:val="0"/>
          <w:color w:val="3A4A28"/>
          <w:sz w:val="17"/>
        </w:rPr>
        <w:t>Forbes — 'How e.l.f. Beauty Keeps Outgrowing The Beauty Industry,' May 21, 2026; CNBC Q2/Q3 FY2026 Earnings Reports</w:t>
      </w:r>
    </w:p>
    <w:p>
      <w:pPr>
        <w:spacing w:before="20" w:after="20"/>
        <w:ind w:left="170"/>
      </w:pPr>
      <w:r>
        <w:rPr>
          <w:rFonts w:ascii="Calibri" w:hAnsi="Calibri"/>
          <w:b/>
          <w:color w:val="4A6B25"/>
          <w:sz w:val="15"/>
        </w:rPr>
        <w:t xml:space="preserve">3. </w:t>
      </w:r>
      <w:r>
        <w:rPr>
          <w:rFonts w:ascii="Calibri" w:hAnsi="Calibri"/>
          <w:b w:val="0"/>
          <w:color w:val="3A4A28"/>
          <w:sz w:val="17"/>
        </w:rPr>
        <w:t>Fortune — 'e.l.f. Beauty's CDIO says she's responsible for AI's foundation,' September 2025; Fast Company Pacesetters 2026</w:t>
      </w:r>
    </w:p>
    <w:p>
      <w:pPr>
        <w:spacing w:before="20" w:after="20"/>
        <w:ind w:left="170"/>
      </w:pPr>
      <w:r>
        <w:rPr>
          <w:rFonts w:ascii="Calibri" w:hAnsi="Calibri"/>
          <w:b/>
          <w:color w:val="4A6B25"/>
          <w:sz w:val="15"/>
        </w:rPr>
        <w:t xml:space="preserve">4. </w:t>
      </w:r>
      <w:r>
        <w:rPr>
          <w:rFonts w:ascii="Calibri" w:hAnsi="Calibri"/>
          <w:b w:val="0"/>
          <w:color w:val="3A4A28"/>
          <w:sz w:val="17"/>
        </w:rPr>
        <w:t>Consumer Goods Technology — 'e.l.f. Beauty's Playbook for Digital Disruption: Test and Learns, Data, and Emerging Tech'; CIO Dive AI initiatives, 2025-2026</w:t>
      </w:r>
    </w:p>
    <w:p>
      <w:pPr>
        <w:spacing w:before="20" w:after="20"/>
        <w:ind w:left="170"/>
      </w:pPr>
      <w:r>
        <w:rPr>
          <w:rFonts w:ascii="Calibri" w:hAnsi="Calibri"/>
          <w:b/>
          <w:color w:val="4A6B25"/>
          <w:sz w:val="15"/>
        </w:rPr>
        <w:t xml:space="preserve">5. </w:t>
      </w:r>
      <w:r>
        <w:rPr>
          <w:rFonts w:ascii="Calibri" w:hAnsi="Calibri"/>
          <w:b w:val="0"/>
          <w:color w:val="3A4A28"/>
          <w:sz w:val="17"/>
        </w:rPr>
        <w:t>e.l.f. Beauty Investor Relations — Mission, Purpose, Insider Trading Data, accessed September 2026</w:t>
      </w:r>
    </w:p>
    <w:p>
      <w:pPr>
        <w:spacing w:before="20" w:after="20"/>
        <w:ind w:left="170"/>
      </w:pPr>
      <w:r>
        <w:rPr>
          <w:rFonts w:ascii="Calibri" w:hAnsi="Calibri"/>
          <w:b/>
          <w:color w:val="4A6B25"/>
          <w:sz w:val="15"/>
        </w:rPr>
        <w:t xml:space="preserve">6. </w:t>
      </w:r>
      <w:r>
        <w:rPr>
          <w:rFonts w:ascii="Calibri" w:hAnsi="Calibri"/>
          <w:b w:val="0"/>
          <w:color w:val="3A4A28"/>
          <w:sz w:val="17"/>
        </w:rPr>
        <w:t>e.l.f. Beauty ESG &amp; Impact — Impact Report, Sustainability Initiatives, SEC Filings 2024-2026</w:t>
      </w:r>
    </w:p>
    <w:p>
      <w:pPr>
        <w:spacing w:before="20" w:after="20"/>
        <w:ind w:left="170"/>
      </w:pPr>
      <w:r>
        <w:rPr>
          <w:rFonts w:ascii="Calibri" w:hAnsi="Calibri"/>
          <w:b/>
          <w:color w:val="4A6B25"/>
          <w:sz w:val="15"/>
        </w:rPr>
        <w:t xml:space="preserve">7. </w:t>
      </w:r>
      <w:r>
        <w:rPr>
          <w:rFonts w:ascii="Calibri" w:hAnsi="Calibri"/>
          <w:b w:val="0"/>
          <w:color w:val="3A4A28"/>
          <w:sz w:val="17"/>
        </w:rPr>
        <w:t>Glassdoor — E.L.F. BEAUTY Reviews (254 reviews), accessed September 2026</w:t>
      </w:r>
    </w:p>
    <w:p>
      <w:pPr>
        <w:spacing w:before="20" w:after="20"/>
        <w:ind w:left="170"/>
      </w:pPr>
      <w:r>
        <w:rPr>
          <w:rFonts w:ascii="Calibri" w:hAnsi="Calibri"/>
          <w:b/>
          <w:color w:val="4A6B25"/>
          <w:sz w:val="15"/>
        </w:rPr>
        <w:t xml:space="preserve">8. </w:t>
      </w:r>
      <w:r>
        <w:rPr>
          <w:rFonts w:ascii="Calibri" w:hAnsi="Calibri"/>
          <w:b w:val="0"/>
          <w:color w:val="3A4A28"/>
          <w:sz w:val="17"/>
        </w:rPr>
        <w:t>StockAnalysis, GuruFocus, MacroTrends — ELF Key Statistics: Forward P/E 34.88x, PEG 2.87, D/E 80%, ROE 6.04%, Profit Margin 3.38%, Stock Price $104.31,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