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ELME</w:t>
      </w:r>
      <w:r>
        <w:rPr>
          <w:rFonts w:ascii="Calibri" w:hAnsi="Calibri"/>
          <w:b/>
          <w:color w:val="1A2010"/>
          <w:sz w:val="40"/>
        </w:rPr>
        <w:t xml:space="preserve">  Elme Communities</w:t>
      </w:r>
    </w:p>
    <w:p>
      <w:pPr>
        <w:spacing w:after="120"/>
      </w:pPr>
      <w:r>
        <w:rPr>
          <w:rFonts w:ascii="Calibri" w:hAnsi="Calibri"/>
          <w:b/>
          <w:color w:val="6E8450"/>
          <w:sz w:val="18"/>
        </w:rPr>
        <w:t>DIVIDEND SLEEVE · 2026-10-21 · Inspire: 70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 United States</w:t>
      </w:r>
    </w:p>
    <w:p>
      <w:pPr>
        <w:spacing w:after="80"/>
      </w:pPr>
      <w:r>
        <w:rPr>
          <w:rFonts w:ascii="Calibri" w:hAnsi="Calibri"/>
          <w:b w:val="0"/>
          <w:color w:val="3A4A28"/>
          <w:sz w:val="20"/>
        </w:rPr>
        <w:t>Elme Communities is a multifamily REIT owning and operating approximately 9,400 apartment homes in the Washington, DC metro and Atlanta metro regions, plus approximately 300,000 sq ft of commercial space. Incorporated in Maryland in 1960, the company focuses on middle-income renters. ELME paid a $14.67/share special distribution in January 2026 — likely a return of capital event — causing the stock to decline from ~$17 to ~$1.76. TTM revenue is $248M with operating cash flow of $74.7M.</w:t>
      </w:r>
    </w:p>
    <w:p>
      <w:r>
        <w:rPr>
          <w:rFonts w:ascii="Calibri" w:hAnsi="Calibri"/>
          <w:b/>
          <w:color w:val="6E8450"/>
          <w:sz w:val="18"/>
        </w:rPr>
        <w:t>https://www.elmecommunities.com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Elme has not launched new products, pivoted its business model, or expanded into new categories in the past five years — the company operates the same multifamily apartment portfolio it has for decades, with its only notable strategic shift being the 2022 rebrand from Washington REIT to Elme Communities and the exit from office properties [1]. AI Deployment (0/2): No evidence of AI-powered products, services, or internal AI-driven cost savings. Market Share (1/2): Elme operates ~9,400 units in two metros (DC and Atlanta), a small but stable position in the residential REIT space; it is not a category leader but maintains consistent occupancy above 95% historically [1]. Product Pipeline (1/2): The company has discussed potential expansion in Atlanta metro following its 2022 entry into that market, but no specific development pipeline with timelines or revenue targets has been disclosed. R&amp;D Intensity (1/1): Not applicable for a REIT; scored at industry average as real estate companies do not have traditional R&amp;D budgets.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Elme's stated purpose — 'elevating what home can be for middle-income renters by providing a higher level of quality, service, and experience' — is clear and identifies both the audience and the aspiration, but is not distinctive enough to differentiate from dozens of other residential REITs making similar claims [1]. Community Impact (1/2): The company's focus on middle-income housing serves a genuine social need in high-cost DC and Atlanta metros, providing workforce housing that fills a gap between luxury and subsidized options [1]. Employee Retention (1/2): No public data on voluntary turnover or average employee tenure. The company has maintained stable leadership with Paul McDermott serving as CEO since 2013, providing over a decade of continuity. Insider Buying (1/2): No evidence of meaningful net insider buying in the last 12 months; the severe stock decline and special distribution suggest management is focused on capital return rather than accumulation.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78.1% is slightly above the 70% target (score 0.97), reasonable for a REIT given the capital-intensive nature of real estate [2]. Revenue growth of 1.7% YoY is modest but positive (score 0.72). Forward P/E is negative (-16.0x) reflecting the distressed share price and recent net losses, scoring 1.0 on the lower-is-better metric. Profit margin of -74.7% reflects the special distribution and impairments, scoring 0.0. ROE is unavailable (negative equity after the massive distribution). Consecutive years paid of 40 is excellent (score 1.0, 2x weight), demonstrating ELME's long REIT dividend history. However, consecutive years of growth is just 1 (score 0.1) and payout ratio of 342.9% is extreme (score 0.0), indicating the current dividend is unsustainable. Daily dollar volume of $1.65M clears the $1M liquidity floor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Elme Communities has a 64-year operating history demonstrating some durability, but the recent special distribution of $14.67/share and resulting stock collapse from ~$17 to ~$1.76 raises serious questions about whether current management is playing to keep playing or liquidating value. The rebrand from Washington REIT and expansion to Atlanta showed some strategic ambition, but the massive capital return event suggests a finite-game pivot toward extracting remaining value rather than building for the long term.</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Elme's purpose of providing quality middle-income housing is a genuine cause that connects to a real societal need — workforce housing in expensive metros [1]. The focus on middle-income renters differentiates from luxury-focused peers. However, the January 2026 special distribution and resulting share price collapse suggests management's strategic priorities have shifted away from long-term cause advancement toward capital extraction, undermining the credibility of the stated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Paul McDermott's tenure since 2013 provides leadership stability, and the company's small size (~9,400 units) suggests a more intimate organizational culture than large institutional REITs [1]. However, no specific data on employee satisfaction, voluntary turnover, or organizational culture is publicly available to assess psychological safety or team trust levels.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ELME operates alongside significantly larger multifamily REITs like AvalonBay (AVB), Equity Residential (EQR), and Mid-America Apartment (MAA), acknowledging their scale advantages while pursuing a differentiated middle-income niche strategy rather than competing directly on unit count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Elme demonstrated some flexibility by exiting its legacy office portfolio entirely to focus on multifamily housing, and expanded from DC-only to include Atlanta in 2022, showing willingness to evolve [1]. However, the massive special distribution in January 2026 potentially signals a strategic capitulation rather than a creative reinvention, and no major new strategic direction has been articulated.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exit office real estate entirely and rebrand required conviction, and the focus on middle-income housing over luxury is a principled positioning choice [1]. However, the $14.67/share special distribution — nearly the entire share price — was a reactive capital event rather than a courageous strategic investment, and it has left the company in a significantly weakened capital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Elme Communities at $1.76 is a deeply distressed multifamily REIT trading at just 0.17x book value after paying a $14.67/share special distribution in January 2026, reducing shares from ~$17 to current levels [2]. The company owns ~9,400 apartment units in DC and Atlanta metros generating $248M in annual revenue with $74.7M operating cash flow [1]. The 64-year dividend history and focus on middle-income workforce housing serve a genuine market need, and D/E of 78% is manageable for a REIT. At these levels, the stock prices in extreme distress — either a wind-down scenario or a potential deep-value opportunity if the company stabilizes operations.</w:t>
      </w:r>
    </w:p>
    <w:p>
      <w:pPr>
        <w:spacing w:after="120"/>
      </w:pPr>
      <w:r>
        <w:rPr>
          <w:rFonts w:ascii="Calibri" w:hAnsi="Calibri"/>
          <w:b w:val="0"/>
          <w:color w:val="3A4A28"/>
          <w:sz w:val="20"/>
        </w:rPr>
        <w:t>The bear case is severe: profit margin of -74.7%, payout ratio of 342.9%, and the massive special distribution all suggest potential liquidation rather than recovery [2]. The stock has declined over 90% from its 52-week high of $17.68, and the current $0.72/year dividend rate on a $1.76 stock implies a 41% yield that is mathematically unsustainable without significant earnings improvement. The forward P/E is negative, indicating analysts expect continued losses. ELME's small scale (~9,400 units) limits operational efficiencies compared to larger multifamily peers like AvalonBay (~90,000 units) or Equity Residential (~80,000 units). The company's expansion into Atlanta is still early-stage and unproven, and the DC metro market faces headwinds from remote work trends reducing demand for urban apartments.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Deep value potential at 0.17x book value — if the company stabilizes operations and maintains its apartment portfolio, the current price implies the market values the ~9,400 unit portfolio at a massive discount to replacement cost [2]</w:t>
      </w:r>
    </w:p>
    <w:p>
      <w:pPr>
        <w:spacing w:before="40" w:after="40"/>
        <w:ind w:left="283"/>
      </w:pPr>
      <w:r>
        <w:rPr>
          <w:rFonts w:ascii="Calibri" w:hAnsi="Calibri"/>
          <w:b/>
          <w:color w:val="4A6B25"/>
          <w:sz w:val="20"/>
        </w:rPr>
        <w:t xml:space="preserve">2. </w:t>
      </w:r>
      <w:r>
        <w:rPr>
          <w:rFonts w:ascii="Calibri" w:hAnsi="Calibri"/>
          <w:b w:val="0"/>
          <w:color w:val="3A4A28"/>
          <w:sz w:val="20"/>
        </w:rPr>
        <w:t>Middle-income housing demand remains structurally strong in DC and Atlanta metros where housing affordability is a chronic issue, supporting occupancy rates above 95% even during market stress [1]</w:t>
      </w:r>
    </w:p>
    <w:p>
      <w:pPr>
        <w:spacing w:before="40" w:after="40"/>
        <w:ind w:left="283"/>
      </w:pPr>
      <w:r>
        <w:rPr>
          <w:rFonts w:ascii="Calibri" w:hAnsi="Calibri"/>
          <w:b/>
          <w:color w:val="4A6B25"/>
          <w:sz w:val="20"/>
        </w:rPr>
        <w:t xml:space="preserve">3. </w:t>
      </w:r>
      <w:r>
        <w:rPr>
          <w:rFonts w:ascii="Calibri" w:hAnsi="Calibri"/>
          <w:b w:val="0"/>
          <w:color w:val="3A4A28"/>
          <w:sz w:val="20"/>
        </w:rPr>
        <w:t>Potential for strategic actions including portfolio sales, mergers, or recapitalization that could unlock value from the underlying real estate assets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Possible liquidation or wind-down — the $14.67/share special distribution consumed nearly all equity value and may signal management's intent to return remaining capital rather than operate as a going concern [1]</w:t>
      </w:r>
    </w:p>
    <w:p>
      <w:pPr>
        <w:spacing w:before="40" w:after="40"/>
        <w:ind w:left="283"/>
      </w:pPr>
      <w:r>
        <w:rPr>
          <w:rFonts w:ascii="Calibri" w:hAnsi="Calibri"/>
          <w:b/>
          <w:color w:val="4A6B25"/>
          <w:sz w:val="20"/>
        </w:rPr>
        <w:t xml:space="preserve">2. </w:t>
      </w:r>
      <w:r>
        <w:rPr>
          <w:rFonts w:ascii="Calibri" w:hAnsi="Calibri"/>
          <w:b w:val="0"/>
          <w:color w:val="3A4A28"/>
          <w:sz w:val="20"/>
        </w:rPr>
        <w:t>Unsustainable dividend with 342.9% payout ratio — the $0.72/year dividend rate will almost certainly be cut unless earnings dramatically improve, which could trigger further selling from income-focused investors [2]</w:t>
      </w:r>
    </w:p>
    <w:p>
      <w:pPr>
        <w:spacing w:before="40" w:after="40"/>
        <w:ind w:left="283"/>
      </w:pPr>
      <w:r>
        <w:rPr>
          <w:rFonts w:ascii="Calibri" w:hAnsi="Calibri"/>
          <w:b/>
          <w:color w:val="4A6B25"/>
          <w:sz w:val="20"/>
        </w:rPr>
        <w:t xml:space="preserve">3. </w:t>
      </w:r>
      <w:r>
        <w:rPr>
          <w:rFonts w:ascii="Calibri" w:hAnsi="Calibri"/>
          <w:b w:val="0"/>
          <w:color w:val="3A4A28"/>
          <w:sz w:val="20"/>
        </w:rPr>
        <w:t>Minimal liquidity with daily dollar volume of just $1.65M and a $156M market cap, creating significant execution risk for institutional investors and potential for volatile price swings on modest volume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Multifamily real estate is structurally immune to AI disruption — people need physical housing regardless of AI advances, and apartments cannot be replaced by software [1]. Residential REITs derive revenue from leases on physical properties in supply-constrained metro areas, and AI cannot substitute for shelter. Property management may see efficiency gains from AI-powered leasing tools and predictive maintenance, but these are cost optimizations that benefit the owner, not substitution risks. The only minor exposure is that AI-powered remote work could reduce demand for urban apartments if workers relocate to lower-cost areas, but ELME's focus on workforce housing in major employment centers mitigates this. AI Opportunity (0/1): ELME does not generate any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Elme Communities Corporate Profile and 10-K Filing — ~9,400 apartments in DC and Atlanta metros, 2022 rebrand from Washington REIT, special distribution January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ELME key statistics, including P/E, D/E, profit margin, dividend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