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EMBJ</w:t>
      </w:r>
      <w:r>
        <w:rPr>
          <w:rFonts w:ascii="Calibri" w:hAnsi="Calibri"/>
          <w:b/>
          <w:color w:val="1A2010"/>
          <w:sz w:val="40"/>
        </w:rPr>
        <w:t xml:space="preserve">  Embraer S.A.</w:t>
      </w:r>
    </w:p>
    <w:p>
      <w:pPr>
        <w:spacing w:after="120"/>
      </w:pPr>
      <w:r>
        <w:rPr>
          <w:rFonts w:ascii="Calibri" w:hAnsi="Calibri"/>
          <w:b/>
          <w:color w:val="6E8450"/>
          <w:sz w:val="18"/>
        </w:rPr>
        <w:t>GROWTH SLEEVE · 2026-09-26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NYSE · Brazil</w:t>
      </w:r>
    </w:p>
    <w:p>
      <w:pPr>
        <w:spacing w:after="80"/>
      </w:pPr>
      <w:r>
        <w:rPr>
          <w:rFonts w:ascii="Calibri" w:hAnsi="Calibri"/>
          <w:b w:val="0"/>
          <w:color w:val="3A4A28"/>
          <w:sz w:val="20"/>
        </w:rPr>
        <w:t>Embraer S.A. designs, manufactures, and sells commercial jets (the E175/E195 E2 family), executive jets (Phenom and Praetor lines), and defense &amp; security aircraft and systems, alongside aftermarket services and support. Through its Eve Air Mobility subsidiary, Embraer is also developing eVTOL aircraft for the emerging urban air mobility market. The company reported record full-year 2025 revenue of $7.58 billion (+18% YoY) and a record backlog of $34.5 billion (+16% YoY) as of 2Q26, with 2026 guidance calling for $8.2-8.5 billion in revenue.</w:t>
      </w:r>
    </w:p>
    <w:p>
      <w:r>
        <w:rPr>
          <w:rFonts w:ascii="Calibri" w:hAnsi="Calibri"/>
          <w:b/>
          <w:color w:val="6E8450"/>
          <w:sz w:val="18"/>
        </w:rPr>
        <w:t>21,122 Employees · https://embraer.com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Embraer delivered record full-year 2025 revenue of $7.58B (+18% YoY) with Defense &amp; Security up 36% and Executive Aviation up 25%, and continues to expand the E2 commercial jet family and Praetor/Phenom executive lineup; the 2020 Eve Air Mobility eVTOL spinoff opened a genuinely new urban air mobility revenue stream, though it remains pre-revenue and separately listed [1][3]. AI Deployment (0/2): No evidence of shipping AI-powered products or quantified AI-driven cost savings was found in company disclosures. Market Share (1/2): Embraer is the world's third-largest aircraft manufacturer and the leading maker of 70-150 seat regional jets, a meaningful but not dominant position behind Boeing and Airbus [1]. Product Pipeline (2/2): Record backlog of $34.5B (+16% YoY) as of 2Q26 with specific 2026 guidance of $8.2-8.5B revenue and 80-85 commercial jet deliveries provides clear near-term visibility [2]. R&amp;D Intensity (0/1): No R&amp;D-as-percent-of-revenue disclosure relative to aerospace peers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Embraer's stated purpose centers on aerospace innovation paired with a sustainability roadmap (sustainable aviation fuel adoption, hybrid-electric and eVTOL development, carbon-neutral operations targeted by 2040), which is clear and connects to a broader purpose but is not yet distinctly differentiated from peer aerospace sustainability pledges [4]. Community Impact (0/2): No specific charitable program or dollar-denominated community investment was identified in available disclosures. Employee Retention (0/2): No tenure or voluntary-turnover data was found. Insider Buying (0/2): No net insider buying data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growth-sleeve weights (PEG, ROE, and 5yr revenue CAGR at 2x weight). D/E of 68.9% and Forward P/E of 19.78 both land just inside their targets (scores near 1.0) [5]. ROE of 12.19% falls short of the 15% target (score 0.81, 2x weight). Revenue growth of 10.4% YoY and an estimated ~18.6% 3-year revenue CAGR (2022-2025: $4.54B to $7.58B, the longest span available from reported financials) both exceed the 10% target (scores capped at 1.0, CAGR at 2x weight) [1][5]. Profit margin of 5.28% is well below the 20% target (score 0.26), reflecting thin margins typical of aircraft OEMs with long production cycles. Forward PEG of 28.2 is far above the 3.0 floor and scores 0 at 2x weight, reflecting a depressed near-term earnings growth estimate relative to the trailing P/E. Liquidity comfortably clears the floor: ~1.18M avg daily volume x $78.63 = ~$92.4M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Embraer displays several infinite-game traits — most notably a decades-long strategic evolution from a government-founded manufacturer into a global commercial and defense aerospace leader that spun off Eve Air Mobility to pursue a distinct urban air mobility future — but the evidentiary record for community impact, employee culture, and a fully-tested Just Cause is thin, keeping the overall mindset in MIXED territory.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Embraer's purpose blends commercial aerospace leadership with a genuine sustainability and future-of-mobility orientation, evidenced by its carbon-neutral-by-2040 commitment and the strategic decision to spin off Eve Air Mobility to pursue zero-emission urban air mobility rather than treating it as a side project [3][4]. However, the cause has not been tested through a defining crisis or validated across multiple leadership generations the way Sinek's exemplars have.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No major layoff, turnover, or culture controversy was identified, and Embraer's leadership under CEO Francisco Gomes Neto has been stable; however, no specific tenure or retention data was found to support a higher score [3].</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Embraer competes in the regional and executive jet niche largely by emphasizing right-sized aircraft economics rather than head-to-head share warfare with Boeing and Airbus, consistent with an improve-rather-than-destroy competitive posture [1].</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Embraer transformed from a Brazilian state-founded military aircraft maker into a global commercial and executive jet leader, and more recently spun off an entirely new eVTOL business unit (Eve) to pursue urban air mobility — a genuine reinvention pattern spanning multiple business eras [3].</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Continuing to fund the loss-making Eve Air Mobility eVTOL program and sustaining sustainable-fuel and hybrid-electric R&amp;D investment through industry cycles reflects a willingness to prioritize long-term capability over near-term earnings, though no specific instance of walking away from profitable but misaligned business was identified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Embraer enters 2026 from a position of strength: record 2025 revenue of $7.58B (+18% YoY), a record $34.5B backlog (+16% YoY) as of 2Q26, and 2026 guidance of $8.2-8.5B revenue with 80-85 commercial jet deliveries reflect broad-based demand across Commercial Aviation, Defense &amp; Security (+36% YoY), and Executive Aviation (+25% YoY) [1][2]. The E2 commercial jet family continues to gain share in the 70-150 seat segment where Embraer effectively has no direct competitor, and the Eve Air Mobility spinoff gives shareholders indirect exposure to a potential new urban air mobility category without diluting the core balance sheet. Infrastructure metrics are solid for an aerospace OEM — D/E of 68.9% and Forward P/E of 19.78 — while defense diversification reduces single-segment cyclicality.</w:t>
      </w:r>
    </w:p>
    <w:p>
      <w:pPr>
        <w:spacing w:after="120"/>
      </w:pPr>
      <w:r>
        <w:rPr>
          <w:rFonts w:ascii="Calibri" w:hAnsi="Calibri"/>
          <w:b w:val="0"/>
          <w:color w:val="3A4A28"/>
          <w:sz w:val="20"/>
        </w:rPr>
        <w:t>The bear case centers on thin profitability and a stretched growth-adjusted valuation: profit margin of just 5.28% is well below industrial averages, and a Forward PEG of 28.2 signals the market is pricing in far less near-term earnings growth than the trailing P/E of 31.8x would suggest, leaving little room for execution missteps [5]. Innovation and Inspiration evidence is thin — no quantified AI deployment, R&amp;D intensity, or community-impact data was found in public disclosures, limiting IOWN's ability to score genuine differentiation beyond backlog strength. Aircraft OEMs also carry persistent supply-chain and engine-availability risk (a sector-wide issue since 2023) that could pressure the ambitious 80-85 unit delivery target for 2026, and Embraer's Brazilian-real-denominated cost base against dollar-denominated aircraft sales creates ongoing FX volatility.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$34.5B backlog (+16% YoY) and raised 2026 guidance of $8.2-8.5B revenue provide multi-year visibility into Commercial and Executive Aviation delivery ramps [2]</w:t>
      </w:r>
    </w:p>
    <w:p>
      <w:pPr>
        <w:spacing w:before="40" w:after="40"/>
        <w:ind w:left="283"/>
      </w:pPr>
      <w:r>
        <w:rPr>
          <w:rFonts w:ascii="Calibri" w:hAnsi="Calibri"/>
          <w:b/>
          <w:color w:val="4A6B25"/>
          <w:sz w:val="20"/>
        </w:rPr>
        <w:t xml:space="preserve">2. </w:t>
      </w:r>
      <w:r>
        <w:rPr>
          <w:rFonts w:ascii="Calibri" w:hAnsi="Calibri"/>
          <w:b w:val="0"/>
          <w:color w:val="3A4A28"/>
          <w:sz w:val="20"/>
        </w:rPr>
        <w:t>Defense &amp; Security segment growth of 36% YoY signals share gains in a global defense-spending upcycle that could re-rate the stock away from a pure commercial-aviation multiple [1]</w:t>
      </w:r>
    </w:p>
    <w:p>
      <w:pPr>
        <w:spacing w:before="40" w:after="40"/>
        <w:ind w:left="283"/>
      </w:pPr>
      <w:r>
        <w:rPr>
          <w:rFonts w:ascii="Calibri" w:hAnsi="Calibri"/>
          <w:b/>
          <w:color w:val="4A6B25"/>
          <w:sz w:val="20"/>
        </w:rPr>
        <w:t xml:space="preserve">3. </w:t>
      </w:r>
      <w:r>
        <w:rPr>
          <w:rFonts w:ascii="Calibri" w:hAnsi="Calibri"/>
          <w:b w:val="0"/>
          <w:color w:val="3A4A28"/>
          <w:sz w:val="20"/>
        </w:rPr>
        <w:t>Eve Air Mobility's continued eVTOL development gives Embraer indirect option value in the emerging urban air mobility category without requiring incremental capital from the parent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Profit margin of only 5.28% leaves minimal cushion against supply-chain cost inflation or engine-availability delays that have affected the broader aerospace sector since 2023 [5]</w:t>
      </w:r>
    </w:p>
    <w:p>
      <w:pPr>
        <w:spacing w:before="40" w:after="40"/>
        <w:ind w:left="283"/>
      </w:pPr>
      <w:r>
        <w:rPr>
          <w:rFonts w:ascii="Calibri" w:hAnsi="Calibri"/>
          <w:b/>
          <w:color w:val="4A6B25"/>
          <w:sz w:val="20"/>
        </w:rPr>
        <w:t xml:space="preserve">2. </w:t>
      </w:r>
      <w:r>
        <w:rPr>
          <w:rFonts w:ascii="Calibri" w:hAnsi="Calibri"/>
          <w:b w:val="0"/>
          <w:color w:val="3A4A28"/>
          <w:sz w:val="20"/>
        </w:rPr>
        <w:t>Forward PEG of 28.2 (versus a 3.0 IOWN floor) suggests the market has priced in a sharp near-term earnings growth deceleration, creating valuation risk if 2026 guidance is not met [5]</w:t>
      </w:r>
    </w:p>
    <w:p>
      <w:pPr>
        <w:spacing w:before="40" w:after="40"/>
        <w:ind w:left="283"/>
      </w:pPr>
      <w:r>
        <w:rPr>
          <w:rFonts w:ascii="Calibri" w:hAnsi="Calibri"/>
          <w:b/>
          <w:color w:val="4A6B25"/>
          <w:sz w:val="20"/>
        </w:rPr>
        <w:t xml:space="preserve">3. </w:t>
      </w:r>
      <w:r>
        <w:rPr>
          <w:rFonts w:ascii="Calibri" w:hAnsi="Calibri"/>
          <w:b w:val="0"/>
          <w:color w:val="3A4A28"/>
          <w:sz w:val="20"/>
        </w:rPr>
        <w:t>Backlog-to-revenue of roughly 16 quarters (~4 years) implies meaningful execution risk in scaling production to convert record orders into delivered, revenue-recognized aircraft on schedule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Embraer's core business — designing, certifying, and manufacturing physical commercial, executive, and defense aircraft — involves capital-intensive manufacturing and multi-year regulatory certification (FAA/ANAC) that AI cannot structurally displace; analysts have not flagged AI substitution risk for aircraft OEMs [1][2]. Some administrative and support functions could see AI-driven efficiency gains, but the core manufacturing and certification moat is intact. AI Opportunity (0/1): No specific AI-related revenue figure was disclosed by the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Embraer Reports Record Full-Year 2025 Revenue of $7.58B (+18% YoY) and $31.6B Backlog — SEC Form 6-K, TipRanks, Flight Plan International, March 2026</w:t>
      </w:r>
    </w:p>
    <w:p>
      <w:pPr>
        <w:spacing w:before="20" w:after="20"/>
        <w:ind w:left="170"/>
      </w:pPr>
      <w:r>
        <w:rPr>
          <w:rFonts w:ascii="Calibri" w:hAnsi="Calibri"/>
          <w:b/>
          <w:color w:val="4A6B25"/>
          <w:sz w:val="15"/>
        </w:rPr>
        <w:t xml:space="preserve">2. </w:t>
      </w:r>
      <w:r>
        <w:rPr>
          <w:rFonts w:ascii="Calibri" w:hAnsi="Calibri"/>
          <w:b w:val="0"/>
          <w:color w:val="3A4A28"/>
          <w:sz w:val="17"/>
        </w:rPr>
        <w:t>Embraer Q2 2026 Report — Record $34.5B Backlog (+16% YoY), 2026 Revenue Guidance $8.2-8.5B — SEC Form 6-K, Investing.com, August 2026</w:t>
      </w:r>
    </w:p>
    <w:p>
      <w:pPr>
        <w:spacing w:before="20" w:after="20"/>
        <w:ind w:left="170"/>
      </w:pPr>
      <w:r>
        <w:rPr>
          <w:rFonts w:ascii="Calibri" w:hAnsi="Calibri"/>
          <w:b/>
          <w:color w:val="4A6B25"/>
          <w:sz w:val="15"/>
        </w:rPr>
        <w:t xml:space="preserve">3. </w:t>
      </w:r>
      <w:r>
        <w:rPr>
          <w:rFonts w:ascii="Calibri" w:hAnsi="Calibri"/>
          <w:b w:val="0"/>
          <w:color w:val="3A4A28"/>
          <w:sz w:val="17"/>
        </w:rPr>
        <w:t>Eve Air Mobility Leadership and eVTOL Development — Airport Technology, eveairmobility.com,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Embraer Corporate ESG and Sustainability Strategy — embraer.com, Aviation Week, Business Jet Traveler,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yfinance — EMBJ Key Statistics: D/E 68.9%, ROE 12.19%, Forward P/E 19.78, Profit Margin 5.28%, PEG 28.2,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