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EMPD</w:t>
      </w:r>
      <w:r>
        <w:rPr>
          <w:rFonts w:ascii="Calibri" w:hAnsi="Calibri"/>
          <w:b/>
          <w:color w:val="1A2010"/>
          <w:sz w:val="40"/>
        </w:rPr>
        <w:t xml:space="preserve">  Empery Digital Inc.</w:t>
      </w:r>
    </w:p>
    <w:p>
      <w:pPr>
        <w:spacing w:after="120"/>
      </w:pPr>
      <w:r>
        <w:rPr>
          <w:rFonts w:ascii="Calibri" w:hAnsi="Calibri"/>
          <w:b/>
          <w:color w:val="6E8450"/>
          <w:sz w:val="18"/>
        </w:rPr>
        <w:t>GROWTH SLEEVE · 2026-10-01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Recreational Vehicles / Digital Assets · NASDAQ · United States</w:t>
      </w:r>
    </w:p>
    <w:p>
      <w:pPr>
        <w:spacing w:after="80"/>
      </w:pPr>
      <w:r>
        <w:rPr>
          <w:rFonts w:ascii="Calibri" w:hAnsi="Calibri"/>
          <w:b w:val="0"/>
          <w:color w:val="3A4A28"/>
          <w:sz w:val="20"/>
        </w:rPr>
        <w:t>Empery Digital Inc. (formerly Volcon Inc.) originally manufactured all-electric off-road motorcycles and utility terrain vehicles. Under CEO John Kim (appointed early 2024), the company pivoted to a Bitcoin treasury strategy and is winding down its powersports operations. In 2026, Empery expanded into AI data center investments through a partnership with Hunt Properties. The company is embroiled in a proxy fight with ATG Capital, with a Delaware court finding breach of fiduciary duties. Q1 2026 net loss was $85.4M (driven by $78.4M digital asset losses), and TTM revenue is approximately $628K.</w:t>
      </w:r>
    </w:p>
    <w:p>
      <w:r>
        <w:rPr>
          <w:rFonts w:ascii="Calibri" w:hAnsi="Calibri"/>
          <w:b/>
          <w:color w:val="6E8450"/>
          <w:sz w:val="18"/>
        </w:rPr>
        <w:t>30 Employees · https://www.emperydigital.com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CEO John Kim (founder of Super73 and U-Life) reconstructed the company in 2024, clearing debts and launching a Bitcoin treasury strategy after pivoting from the original Volcon electric vehicle business [2]. However, the BTC treasury strategy resulted in a $78.4M digital asset loss in Q1 2026, and the EV business is being wound down with TTM revenue declining 76% to $628K [1]. The rapid pivots from EVs to Bitcoin to AI data centers within two years reflect strategic instability rather than successful innovation. AI Deployment (0/2): No AI products or measurable AI deployments. The company has announced AI data center investment plans with Hunt Properties but has not shipped any AI-related products or reported operational AI savings [2]. Market Share (0/2): Empery holds no meaningful market share in any category — the EV business is winding down, the Bitcoin treasury is a passive holding, and AI data center investments are pre-revenue [1][3]. Product Pipeline (0/2): AI data center investments through the Hunt Properties partnership represent a new direction, but no specific projects with timelines, capacity targets, or revenue visibility have been disclosed [2]. R&amp;D Intensity (0/1): No R&amp;D spending evident; the company is a financial holding vehicle rather than a technology developer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Empery Digital describes its purpose around 'transparency, efficiency, and accountability' with a goal to 'drive sustainable, long-term shareholder value' through BTC treasury and AI data center investments [2]. This is generic shareholder value language interchangeable with any holding company — it does not articulate a meaningful purpose beyond financial returns. Community Impact (0/2): No evidence of charitable programs, community investment, or philanthropic initiatives [3]. Employee Retention (0/2): With approximately 30 employees during a business wind-down and strategic pivot, no retention data is available. The proxy fight with ATG Capital and Delaware court fiduciary breach finding suggest organizational instability [3]. Insider Buying (0/2): No evidence of meaningful net insider buying. The proxy fight and shareholder activist criticism of management's day-trading of Bitcoin derivatives suggest insider priorities are misaligned with long-term ownership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excluding unavailable Revenue Growth 5yr CAGR and Forward PEG). Daily dollar volume of approximately $1.25M ($3.01 x 415K shares) narrowly clears the $1M liquidity floor [4]. D/E of 49.0% is below the 70% target, scoring 1.0 — the one bright spot, reflecting John Kim's debt restructuring [4]. ROE of -426.7% is deeply negative, scoring 0.0 (2x weight) [4]. Revenue growth YoY of -57.9% is below the -20% floor, scoring 0.0 [1]. Forward P/E of 18.81 is near the 20 target, scoring 0.97 [4]. Profit margin of 0.0% is at the floor, scoring 0.0 — and this excludes the $78.4M digital asset loss in Q1 2026 that makes true profitability far worse [1]. Weighted sum: (1x1.0)+(2x0.0)+(1x0.0)+(1x0.97)+(1x0.0)=1.97. Max weight: 6. Infrastructure: round(1.97/6x10)=3.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Empery Digital exemplifies finite-game thinking at its most extreme: a company that has changed its core strategy twice in under a year (EVs to Bitcoin to AI data centers), pursued speculative day-trading of Bitcoin derivatives that destroyed shareholder value, faced a Delaware court finding of fiduciary duty breach, and is now embroiled in a proxy fight with ATG Capital. There is no durable purpose, no long-term vision, and no evidence that leadership is building to endure.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Empery Digital exists to 'maximize long-term shareholder value' through Bitcoin treasury and AI data center investments [2]. This is not a Just Cause — it is a financial strategy. The company abandoned its original electric vehicle purpose (which at least had an environmental dimension) and replaced it with pure financial engineering. The strategy changed twice in under a year [3]. Sinek would identify this as a company playing the most finite of games: chasing whatever financial trend offers the best short-term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proxy fight with ATG Capital, Delaware court finding of fiduciary duty breach, and shareholder criticism of employees 'day-trading tens or hundreds of millions of dollars of bitcoin derivatives' indicate deep dysfunction at the governance level [3]. With approximately 30 employees during a business wind-down and serial strategic pivots, the organizational environment is unlikely to provide psychological safety. The company faces $22.5M in estimated incremental solicitation costs from the proxy fight alone.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learning-oriented mindset [2]. The company does not operate in a defined competitive market — it is a holding company pursuing financial strategies. There is no indication that management benchmarks against peers or uses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Empery Digital has dramatically reinvented itself multiple times — from Volcon (electric off-road vehicles) to Bitcoin treasury to AI data center investments — demonstrating willingness to abandon existing business models [2]. However, Sinek would distinguish between purpose-driven reinvention and desperate strategic flailing. These pivots were driven by commercial failure and financial speculation, not by a Just Cause demanding a new approach. The flexibility is real but unprincipled.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A Delaware court found that Empery's board breached its fiduciary duties to stockholders [3]. Management allowed employees to day-trade hundreds of millions in Bitcoin derivatives, resulting in an $85.4M Q1 2026 net loss driven by $78.4M in digital asset losses [1][3]. These are not courageous long-term bets — they are speculative gambles that destroyed shareholder value. No evidence of leadership sacrificing short-term results for durable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Empery Digital's low D/E ratio of 49% (reflecting CEO John Kim's 2024 debt restructuring), forward P/E of 18.8x, and strategic pivot toward AI data center infrastructure through the Hunt Properties partnership represent the bull case [2][4]. If AI data center investments generate returns, the company's small $84.8M market cap provides leverage to upside. The Inspire Impact Score of 48 (ALIGNED) with 10 positive ESG attributions and zero negative marks — largely inherited from the original Volcon EV business — is favorable for faith-aligned mandates. Kim's track record building Super73 (acquired by Tiger Global) and U-Life (acquired by LG Electronics) provides some entrepreneurial credibility [2].</w:t>
      </w:r>
    </w:p>
    <w:p>
      <w:pPr>
        <w:spacing w:after="120"/>
      </w:pPr>
      <w:r>
        <w:rPr>
          <w:rFonts w:ascii="Calibri" w:hAnsi="Calibri"/>
          <w:b w:val="0"/>
          <w:color w:val="3A4A28"/>
          <w:sz w:val="20"/>
        </w:rPr>
        <w:t>The bear case is severe. Empery Digital generated only $628K in TTM revenue (down 76.4% YoY) while posting an $85.4M net loss in Q1 2026 alone, driven by $78.4M in digital asset trading losses [1]. The company's strategy has changed twice in under a year, from EVs to Bitcoin treasury to AI data centers, with no commercial traction in any direction. A Delaware court found that the board breached its fiduciary duties, and the proxy fight with ATG Capital (backed by a 9.8% shareholder) alleges 'reckless behavior and poor governance' including employees day-trading 'tens or hundreds of millions of dollars of bitcoin derivatives' [3]. The estimated $22.5M in proxy fight costs alone exceeds 26% of the company's market cap. ROE of -427% and profit margin at 0% (excluding massive digital asset losses) demonstrate no path to profitability. The AI data center pivot has zero revenue, zero established assets, and zero competitive moats against well-capitalized incumbents like Equinix, Digital Realty, and QTS.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investments through Hunt Properties partnership could generate returns if the company successfully develops capacity in the growing AI compute infrastructure market [2]</w:t>
      </w:r>
    </w:p>
    <w:p>
      <w:pPr>
        <w:spacing w:before="40" w:after="40"/>
        <w:ind w:left="283"/>
      </w:pPr>
      <w:r>
        <w:rPr>
          <w:rFonts w:ascii="Calibri" w:hAnsi="Calibri"/>
          <w:b/>
          <w:color w:val="4A6B25"/>
          <w:sz w:val="20"/>
        </w:rPr>
        <w:t xml:space="preserve">2. </w:t>
      </w:r>
      <w:r>
        <w:rPr>
          <w:rFonts w:ascii="Calibri" w:hAnsi="Calibri"/>
          <w:b w:val="0"/>
          <w:color w:val="3A4A28"/>
          <w:sz w:val="20"/>
        </w:rPr>
        <w:t>Bitcoin treasury appreciation could boost NAV if BTC prices rise, with the company holding significant digital asset positions [1]</w:t>
      </w:r>
    </w:p>
    <w:p>
      <w:pPr>
        <w:spacing w:before="40" w:after="40"/>
        <w:ind w:left="283"/>
      </w:pPr>
      <w:r>
        <w:rPr>
          <w:rFonts w:ascii="Calibri" w:hAnsi="Calibri"/>
          <w:b/>
          <w:color w:val="4A6B25"/>
          <w:sz w:val="20"/>
        </w:rPr>
        <w:t xml:space="preserve">3. </w:t>
      </w:r>
      <w:r>
        <w:rPr>
          <w:rFonts w:ascii="Calibri" w:hAnsi="Calibri"/>
          <w:b w:val="0"/>
          <w:color w:val="3A4A28"/>
          <w:sz w:val="20"/>
        </w:rPr>
        <w:t>Resolution of the proxy fight with ATG Capital and governance stabilization could restore investor confidence and reduce the $22.5M proxy-related cost overhang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Delaware court finding of fiduciary duty breach, ongoing proxy fight with ATG Capital (9.8% shareholder), and alleged reckless Bitcoin derivative day-trading signal deep governance dysfunction and potential further legal liability [3]</w:t>
      </w:r>
    </w:p>
    <w:p>
      <w:pPr>
        <w:spacing w:before="40" w:after="40"/>
        <w:ind w:left="283"/>
      </w:pPr>
      <w:r>
        <w:rPr>
          <w:rFonts w:ascii="Calibri" w:hAnsi="Calibri"/>
          <w:b/>
          <w:color w:val="4A6B25"/>
          <w:sz w:val="20"/>
        </w:rPr>
        <w:t xml:space="preserve">2. </w:t>
      </w:r>
      <w:r>
        <w:rPr>
          <w:rFonts w:ascii="Calibri" w:hAnsi="Calibri"/>
          <w:b w:val="0"/>
          <w:color w:val="3A4A28"/>
          <w:sz w:val="20"/>
        </w:rPr>
        <w:t>Q1 2026 net loss of $85.4M (including $78.4M digital asset losses) on TTM revenue of only $628K demonstrates the Bitcoin treasury strategy has destroyed shareholder value, and the company has no profitable operating business [1]</w:t>
      </w:r>
    </w:p>
    <w:p>
      <w:pPr>
        <w:spacing w:before="40" w:after="40"/>
        <w:ind w:left="283"/>
      </w:pPr>
      <w:r>
        <w:rPr>
          <w:rFonts w:ascii="Calibri" w:hAnsi="Calibri"/>
          <w:b/>
          <w:color w:val="4A6B25"/>
          <w:sz w:val="20"/>
        </w:rPr>
        <w:t xml:space="preserve">3. </w:t>
      </w:r>
      <w:r>
        <w:rPr>
          <w:rFonts w:ascii="Calibri" w:hAnsi="Calibri"/>
          <w:b w:val="0"/>
          <w:color w:val="3A4A28"/>
          <w:sz w:val="20"/>
        </w:rPr>
        <w:t>Serial strategic pivots (EVs to Bitcoin to AI data centers within two years) with zero commercial traction in any direction suggest management lacks a coherent long-term business plan, and the $84.8M market cap may not survive continued cash burn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Empery Digital's current business mix includes a Bitcoin treasury, winding-down EV operations, and early-stage AI data center investments [2]. The Bitcoin treasury is a passive financial holding that AI cannot substitute, but AI-driven algorithmic trading introduces competitive pressure on the active trading strategy that management pursues [3]. The AI data center investment direction theoretically benefits from AI growth, as expanding AI workloads drive demand for compute infrastructure. However, the company has no established data center operations, no competitive moats, and no revenue from this segment. The overall risk profile is moderate — AI neither directly threatens nor protects the current financial holding structure. AI Opportunity (0/1): No AI-related revenue. The Hunt Properties partnership for AI data center investments is pre-revenue and pre-construction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Empery Digital Q1/Q2 FY2026 Financial Results — StockAnalysis.com, StockTitan, FXEmpire, TradingView, 2026</w:t>
      </w:r>
    </w:p>
    <w:p>
      <w:pPr>
        <w:spacing w:before="20" w:after="20"/>
        <w:ind w:left="170"/>
      </w:pPr>
      <w:r>
        <w:rPr>
          <w:rFonts w:ascii="Calibri" w:hAnsi="Calibri"/>
          <w:b/>
          <w:color w:val="4A6B25"/>
          <w:sz w:val="15"/>
        </w:rPr>
        <w:t xml:space="preserve">2. </w:t>
      </w:r>
      <w:r>
        <w:rPr>
          <w:rFonts w:ascii="Calibri" w:hAnsi="Calibri"/>
          <w:b w:val="0"/>
          <w:color w:val="3A4A28"/>
          <w:sz w:val="17"/>
        </w:rPr>
        <w:t>Empery Digital Corporate Communications — StreetInsider, IR Website, Management Team Bios, Hunt Properties Partnership, 2024-2026</w:t>
      </w:r>
    </w:p>
    <w:p>
      <w:pPr>
        <w:spacing w:before="20" w:after="20"/>
        <w:ind w:left="170"/>
      </w:pPr>
      <w:r>
        <w:rPr>
          <w:rFonts w:ascii="Calibri" w:hAnsi="Calibri"/>
          <w:b/>
          <w:color w:val="4A6B25"/>
          <w:sz w:val="15"/>
        </w:rPr>
        <w:t xml:space="preserve">3. </w:t>
      </w:r>
      <w:r>
        <w:rPr>
          <w:rFonts w:ascii="Calibri" w:hAnsi="Calibri"/>
          <w:b w:val="0"/>
          <w:color w:val="3A4A28"/>
          <w:sz w:val="17"/>
        </w:rPr>
        <w:t>ATG Capital Proxy Fight and Delaware Court Ruling — GlobeNewswire, CoinDesk, Manila Times, ISS Recommendation,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StockAnalysis.com — EMPD Key Statistics: $3.01 price, $84.8M market cap, D/E 49%,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