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ENB</w:t>
      </w:r>
      <w:r>
        <w:rPr>
          <w:rFonts w:ascii="Calibri" w:hAnsi="Calibri"/>
          <w:b/>
          <w:color w:val="1A2010"/>
          <w:sz w:val="40"/>
        </w:rPr>
        <w:t xml:space="preserve">  Enbridge Inc.</w:t>
      </w:r>
    </w:p>
    <w:p>
      <w:pPr>
        <w:spacing w:after="120"/>
      </w:pPr>
      <w:r>
        <w:rPr>
          <w:rFonts w:ascii="Calibri" w:hAnsi="Calibri"/>
          <w:b/>
          <w:color w:val="6E8450"/>
          <w:sz w:val="18"/>
        </w:rPr>
        <w:t>DIVIDEND SLEEVE · 2026-10-19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NYQ · Canada</w:t>
      </w:r>
    </w:p>
    <w:p>
      <w:pPr>
        <w:spacing w:after="80"/>
      </w:pPr>
      <w:r>
        <w:rPr>
          <w:rFonts w:ascii="Calibri" w:hAnsi="Calibri"/>
          <w:b w:val="0"/>
          <w:color w:val="3A4A28"/>
          <w:sz w:val="20"/>
        </w:rPr>
        <w:t>Enbridge Inc. operates as North America's largest energy infrastructure company through four segments: Liquids Pipelines, Gas Transmission, Gas Distribution and Storage, and Renewable Power Generation. The company operates the world's longest crude oil pipeline system (Mainline), natural gas transmission and distribution networks serving millions of customers in Ontario and Quebec, and renewable energy assets including wind, solar, and geothermal. Q2 2026 adjusted EBITDA reached $4.78B with a $41B secured capital backlog. Founded in 1949 and headquartered in Calgary, Canada, Enbridge employs 14,800 people.</w:t>
      </w:r>
    </w:p>
    <w:p>
      <w:r>
        <w:rPr>
          <w:rFonts w:ascii="Calibri" w:hAnsi="Calibri"/>
          <w:b/>
          <w:color w:val="6E8450"/>
          <w:sz w:val="18"/>
        </w:rPr>
        <w:t>14,800 Employees · https://www.enbridge.com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Enbridge completed the transformative ~$14B acquisition of Dominion Energy's gas utility businesses in 2024, diversifying from pure pipeline operations into regulated gas distribution serving millions of customers [1][2]. The company also expanded into renewable power generation (wind, solar, geothermal). These are meaningful strategic expansions but represent financial engineering and asset acquisition rather than product or business model innovation. AI Deployment (1/2): Enbridge deployed Microsoft 365 Copilot to nearly one-third of all employees, built ChatENB (an internal chatbot on Azure OpenAI), and uses machine learning for pipeline failure detection and cybersecurity enhancement — specific internal efficiency tools with measurable deployment, though no AI-driven revenue is quantified [4]. Market Share (1/2): Enbridge operates the world's longest crude oil pipeline system and is the largest energy infrastructure company in North America, with record Mainline volumes in Q1 2026 [1][2]. Clear infrastructure leader but in a regulated utility-like business where share gains are driven by capital deployment rather than competitive innovation. Product Pipeline (0/2): The $41B secured capital backlog represents infrastructure projects under development, not next-generation products or breakthrough innovations [1]. Pipeline and utility projects are critical but lack the innovation dimension this metric measures. R&amp;D Intensity (0/1): Energy infrastructure companies invest minimally in traditional R&amp;D relative to revenue; Enbridge's technology spend is focused on operational efficiency and safety rather than new product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Enbridge's purpose — 'We safely deliver the energy people need and want — to fuel quality of life' — is clear and connects energy delivery to a broader human purpose [3]. CEO Greg Ebel articulates the vision as being 'the first choice for energy delivery in North America and beyond,' which is thoughtful but not deeply distinctive among energy companies [3]. The purpose identifies the 'what' and 'why' but doesn't articulate a transformative future state. Community &amp; Charitable Impact (1/2): Enbridge maintains community engagement and Indigenous partnership programs, though these have been controversial — the Line 3 pipeline proceeded over objections from some Indigenous groups, and the company faced greenwashing allegations for a sustainability-linked credit facility during Line 3 construction [5]. General corporate philanthropy exists but is complicated by these disputes. Employee Retention (1/2): Enbridge's 14,800 employees operate in a stable organizational structure with a 77-year company history dating to 1949. CEO Greg Ebel has led since 2023, and the company emphasizes diversity of thought as a cultural value [3][4]. No specific retention metrics are available but the organization shows typical utility-sector stability. Insider Buying (0/2): No evidence of meaningful net insider buying by CEO Ebel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Revenue growth metrics are the strongest: YoY growth of 97.1% (score 1.0) and estimated 5-year CAGR of approximately 18% (score 1.0) reflect the transformative Dominion gas utility acquisition rather than organic growth [1][6]. Forward P/E of 21.4x is near the 20 target (score 0.97). However, profitability and balance sheet metrics lag: D/E of 163.0% is elevated (score 0.60) reflecting the capital-intensive infrastructure model, ROE of 9.2% falls short of the 15% target (score 0.61), and profit margin of 7.3% is well below the 20% target (score 0.37) [6]. Dividend metrics are mixed: consecutive years paid of approximately 69 years (score 1.0, 2x weight) and 29 years of consecutive growth (score 1.0) are excellent, but the GAAP payout ratio of 147.7% exceeds the 100% floor (score 0.0) — though Enbridge uses distributable cash flow as its true payout metric, which shows a sustainable ~65% ratio. The 5-year dividend growth CAGR of approximately 3% in CAD scores 0.50 (2x weight). Daily dollar volume of $243M provides maximum liquidity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Enbridge demonstrates meaningful infinite game characteristics through its 77-year history of consistent energy delivery, 29 consecutive years of dividend growth, and a clear purpose connecting energy infrastructure to quality of life. CEO Greg Ebel's vision of being the 'first choice for energy delivery' reflects a service orientation over competitive destruction. The company's willingness to evolve from pure pipelines into gas utilities and renewables shows strategic flexibility. However, ESG controversies around Line 3 and Indigenous consent, the reliance on acquisitions rather than organic innovation, and the regulated utility model's inherent conservatism limit the infinite game score.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Enbridge's purpose of fueling quality of life through safe energy delivery is genuine and has been validated by 77 years of consistent execution across multiple energy transitions — from oil pipelines to natural gas, renewables, and now positioning for AI-era energy demand [1][3]. Strategic decisions trace back to this purpose, including the Dominion gas utility acquisition and renewable energy investments. However, 'energy delivery' is fundamentally a commercial function rather than a bold vision of a future state that doesn't yet exist.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Enbridge's 14,800-person workforce operates within a stable organizational structure dating to 1949, and the company emphasizes inclusion and diversity of thought as cultural values [3][4]. The digital transformation since 2020 included deploying Microsoft Copilot to a third of employees, suggesting a culture willing to empower workers with advanced tools. However, no specific voluntary turnover rates, employee sentiment data, or evidence of exceptional psychological safety was found to distinguish Enbridge from typical utility-sector norms.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Ebel frames Enbridge's competitive positioning around self-improvement and service — 'the first choice for energy delivery' — rather than defeating specific competitors [3]. The company's strategic evolution from pipelines to utilities to renewables reflects an orientation toward meeting evolving energy needs rather than winning market share battles. This service-oriented competitive framing aligns with Sinek's infinite game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Enbridge has evolved meaningfully from a pure crude oil pipeline operator into a diversified energy infrastructure company spanning liquids pipelines, gas transmission, gas distribution (via the ~$14B Dominion acquisition), and renewable power generation [1][2]. Each expansion entered adjacent markets without abandoning the core energy delivery purpose. The changes are significant and additive but incremental — the company has not yet had to abandon a profitable core business in service of its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~$14B Dominion gas utility acquisition was a bold bet that significantly expanded Enbridge's business model and took on substantial debt, prioritizing long-term energy delivery diversification over short-term balance sheet optimization [1][2]. The company also maintained and grew its dividend through 29 consecutive years including the COVID downturn, demonstrating commitment to long-term shareholder partnerships. Renewable energy investments represent forward-looking capital allocation despite the near-term returns being below pipeline economics.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Enbridge at $48.10 with a $107B market cap is North America's premier energy infrastructure company delivering reliable income and defensive positioning — the 5.82% dividend yield is backed by 29 consecutive years of growth, 2026 EBITDA guidance of $20.2-$20.8B, and DCF/share guidance of $5.70-$6.10 [1][2]. The $41B secured capital backlog provides multi-year growth visibility, and the company is strategically positioned to benefit from the AI data center energy demand wave, with CEO Ebel explicitly targeting this opportunity [3]. The Dominion gas utility integration is complete, adding regulated rate-base earnings that reduce commodity sensitivity and provide inflation-protected revenue growth. Q2 2026 adjusted EBITDA of $4.78B beat the $4.71B consensus, and record Mainline volumes in Q1 2026 demonstrate the resilience of core operations [1][2].</w:t>
      </w:r>
    </w:p>
    <w:p>
      <w:pPr>
        <w:spacing w:after="120"/>
      </w:pPr>
      <w:r>
        <w:rPr>
          <w:rFonts w:ascii="Calibri" w:hAnsi="Calibri"/>
          <w:b w:val="0"/>
          <w:color w:val="3A4A28"/>
          <w:sz w:val="20"/>
        </w:rPr>
        <w:t>The bear case centers on valuation, leverage, and ESG risks. The forward P/E of 21.4x and PEG of 4.89 are elevated for a regulated infrastructure company with low single-digit dividend growth (3% CAGR), limiting total return potential to approximately 9% (yield plus growth) [6]. Debt-to-equity of 163% and total debt of $112B create significant interest rate sensitivity — a sustained higher-rate environment compresses the equity value of long-duration infrastructure assets. GAAP payout ratio of 147.7% and GAAP earnings decline of 36% YoY in Q2 2026 highlight the gap between accounting earnings and distributable cash flow, creating perception risk. ESG controversies around Line 3 Indigenous consent, greenwashing allegations on the sustainability-linked credit facility, and the legacy of the 2010 Michigan pipeline spill continue to generate reputational and regulatory risk [5]. The energy transition creates long-term uncertainty for the crude oil Mainline system, though gas distribution and renewables provide partial offset. The Inspire Impact Score of -49 (MISALIGNED) may deter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energy demand wave — Enbridge is explicitly positioning to power the massive energy needs of AI computing infrastructure, with CEO Ebel targeting this secular growth opportunity for gas transmission and distribution assets [3]</w:t>
      </w:r>
    </w:p>
    <w:p>
      <w:pPr>
        <w:spacing w:before="40" w:after="40"/>
        <w:ind w:left="283"/>
      </w:pPr>
      <w:r>
        <w:rPr>
          <w:rFonts w:ascii="Calibri" w:hAnsi="Calibri"/>
          <w:b/>
          <w:color w:val="4A6B25"/>
          <w:sz w:val="20"/>
        </w:rPr>
        <w:t xml:space="preserve">2. </w:t>
      </w:r>
      <w:r>
        <w:rPr>
          <w:rFonts w:ascii="Calibri" w:hAnsi="Calibri"/>
          <w:b w:val="0"/>
          <w:color w:val="3A4A28"/>
          <w:sz w:val="20"/>
        </w:rPr>
        <w:t>$41B secured capital backlog providing multi-year EBITDA growth visibility through pipeline expansions, gas utility rate base additions, and renewable power generation projects [1][2]</w:t>
      </w:r>
    </w:p>
    <w:p>
      <w:pPr>
        <w:spacing w:before="40" w:after="40"/>
        <w:ind w:left="283"/>
      </w:pPr>
      <w:r>
        <w:rPr>
          <w:rFonts w:ascii="Calibri" w:hAnsi="Calibri"/>
          <w:b/>
          <w:color w:val="4A6B25"/>
          <w:sz w:val="20"/>
        </w:rPr>
        <w:t xml:space="preserve">3. </w:t>
      </w:r>
      <w:r>
        <w:rPr>
          <w:rFonts w:ascii="Calibri" w:hAnsi="Calibri"/>
          <w:b w:val="0"/>
          <w:color w:val="3A4A28"/>
          <w:sz w:val="20"/>
        </w:rPr>
        <w:t>Regulated gas utility integration from Dominion acquisition adding inflation-protected rate-base earnings growth, reducing commodity sensitivity and supporting sustained 3-5% annual dividend increases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Elevated leverage with D/E of 163% and $112B total debt creates significant interest rate sensitivity — a sustained higher-rate environment compresses the equity value of long-duration infrastructure assets and increases refinancing costs [6]</w:t>
      </w:r>
    </w:p>
    <w:p>
      <w:pPr>
        <w:spacing w:before="40" w:after="40"/>
        <w:ind w:left="283"/>
      </w:pPr>
      <w:r>
        <w:rPr>
          <w:rFonts w:ascii="Calibri" w:hAnsi="Calibri"/>
          <w:b/>
          <w:color w:val="4A6B25"/>
          <w:sz w:val="20"/>
        </w:rPr>
        <w:t xml:space="preserve">2. </w:t>
      </w:r>
      <w:r>
        <w:rPr>
          <w:rFonts w:ascii="Calibri" w:hAnsi="Calibri"/>
          <w:b w:val="0"/>
          <w:color w:val="3A4A28"/>
          <w:sz w:val="20"/>
        </w:rPr>
        <w:t>GAAP earnings decline of 36% YoY in Q2 2026 and payout ratio of 147.7% highlight the gap between accounting earnings and distributable cash flow, creating perception risk if GAAP losses persist or analysts downgrade coverage [6]</w:t>
      </w:r>
    </w:p>
    <w:p>
      <w:pPr>
        <w:spacing w:before="40" w:after="40"/>
        <w:ind w:left="283"/>
      </w:pPr>
      <w:r>
        <w:rPr>
          <w:rFonts w:ascii="Calibri" w:hAnsi="Calibri"/>
          <w:b/>
          <w:color w:val="4A6B25"/>
          <w:sz w:val="20"/>
        </w:rPr>
        <w:t xml:space="preserve">3. </w:t>
      </w:r>
      <w:r>
        <w:rPr>
          <w:rFonts w:ascii="Calibri" w:hAnsi="Calibri"/>
          <w:b w:val="0"/>
          <w:color w:val="3A4A28"/>
          <w:sz w:val="20"/>
        </w:rPr>
        <w:t>ESG and regulatory risk from Line 3/Line 5 Indigenous consent disputes, greenwashing allegations, and long-term energy transition pressure on the crude oil Mainline — the largest pipeline system faces secular demand uncertainty as global oil consumption peaks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Enbridge operates physical energy infrastructure — pipelines transporting crude oil and natural gas, gas distribution networks serving millions of utility customers, and renewable power generation assets — that AI structurally cannot displace [1][3]. Energy delivery requires physical infrastructure regardless of technological advances, and AI actually increases demand for Enbridge's services: Fortune reported Enbridge is positioning to help power the AI data center boom, as massive computing facilities require reliable natural gas and electricity delivery [3]. The regulated utility model provides additional structural protection through long-term rate-based returns. The single point deducted reflects that AI-driven energy efficiency improvements could marginally reduce long-term demand growth for natural gas distribution. AI Opportunity (1/1): Enbridge generates indirect AI-driven revenue through energy delivery to AI data centers, and CEO Ebel has explicitly positioned the company to capture the AI infrastructure energy demand wave [3]. The company also deploys AI operationally through Microsoft Copilot, ChatENB, and ML-based pipeline monitoring, improving safety and efficiency across its asset base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Enbridge Q2 2026 Earnings Report — Adjusted EBITDA $4.78B (Beat $4.71B Consensus), EPS $0.46, $41B Secured Capital Backlog, TIKR/Company Release, July 2026</w:t>
      </w:r>
    </w:p>
    <w:p>
      <w:pPr>
        <w:spacing w:before="20" w:after="20"/>
        <w:ind w:left="170"/>
      </w:pPr>
      <w:r>
        <w:rPr>
          <w:rFonts w:ascii="Calibri" w:hAnsi="Calibri"/>
          <w:b/>
          <w:color w:val="4A6B25"/>
          <w:sz w:val="15"/>
        </w:rPr>
        <w:t xml:space="preserve">2. </w:t>
      </w:r>
      <w:r>
        <w:rPr>
          <w:rFonts w:ascii="Calibri" w:hAnsi="Calibri"/>
          <w:b w:val="0"/>
          <w:color w:val="3A4A28"/>
          <w:sz w:val="17"/>
        </w:rPr>
        <w:t>Enbridge Q1 2026 Earnings — Record Mainline Volumes, Reaffirmed 2026 Guidance (EBITDA $20.2-$20.8B, DCF/Share $5.70-$6.10), TIKR, May 2026</w:t>
      </w:r>
    </w:p>
    <w:p>
      <w:pPr>
        <w:spacing w:before="20" w:after="20"/>
        <w:ind w:left="170"/>
      </w:pPr>
      <w:r>
        <w:rPr>
          <w:rFonts w:ascii="Calibri" w:hAnsi="Calibri"/>
          <w:b/>
          <w:color w:val="4A6B25"/>
          <w:sz w:val="15"/>
        </w:rPr>
        <w:t xml:space="preserve">3. </w:t>
      </w:r>
      <w:r>
        <w:rPr>
          <w:rFonts w:ascii="Calibri" w:hAnsi="Calibri"/>
          <w:b w:val="0"/>
          <w:color w:val="3A4A28"/>
          <w:sz w:val="17"/>
        </w:rPr>
        <w:t>Fortune — 'Enbridge Helps North America Win the AI Boom' — CEO Greg Ebel on Energy Delivery Strategy and AI Data Center Demand, May 2026</w:t>
      </w:r>
    </w:p>
    <w:p>
      <w:pPr>
        <w:spacing w:before="20" w:after="20"/>
        <w:ind w:left="170"/>
      </w:pPr>
      <w:r>
        <w:rPr>
          <w:rFonts w:ascii="Calibri" w:hAnsi="Calibri"/>
          <w:b/>
          <w:color w:val="4A6B25"/>
          <w:sz w:val="15"/>
        </w:rPr>
        <w:t xml:space="preserve">4. </w:t>
      </w:r>
      <w:r>
        <w:rPr>
          <w:rFonts w:ascii="Calibri" w:hAnsi="Calibri"/>
          <w:b w:val="0"/>
          <w:color w:val="3A4A28"/>
          <w:sz w:val="17"/>
        </w:rPr>
        <w:t>Enbridge-Microsoft AI Collaboration — ChatENB, Microsoft 365 Copilot Deployed to 1/3 of Staff, ML Pipeline Safety, Inspectioneering/Calgary Economic Development, October 2024</w:t>
      </w:r>
    </w:p>
    <w:p>
      <w:pPr>
        <w:spacing w:before="20" w:after="20"/>
        <w:ind w:left="170"/>
      </w:pPr>
      <w:r>
        <w:rPr>
          <w:rFonts w:ascii="Calibri" w:hAnsi="Calibri"/>
          <w:b/>
          <w:color w:val="4A6B25"/>
          <w:sz w:val="15"/>
        </w:rPr>
        <w:t xml:space="preserve">5. </w:t>
      </w:r>
      <w:r>
        <w:rPr>
          <w:rFonts w:ascii="Calibri" w:hAnsi="Calibri"/>
          <w:b w:val="0"/>
          <w:color w:val="3A4A28"/>
          <w:sz w:val="17"/>
        </w:rPr>
        <w:t>Enbridge ESG Controversies — Line 3 Indigenous Consent Disputes, Greenwashing Allegations on Sustainability-Linked Credit, 2010 Michigan Spill Legacy, BankTrack/Reclaim Finance/Globe and Mail, 2012-2026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ENB Key Statistics, Stock Price $48.10, Market Cap $107B, D/E 163%, Forward P/E 21.4x, Dividend Yield 5.82%, Total Debt $112B,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