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ENSC</w:t>
      </w:r>
      <w:r>
        <w:rPr>
          <w:rFonts w:ascii="Calibri" w:hAnsi="Calibri"/>
          <w:b/>
          <w:color w:val="1A2010"/>
          <w:sz w:val="40"/>
        </w:rPr>
        <w:t xml:space="preserve">  Ensysce Biosciences, Inc.</w:t>
      </w:r>
    </w:p>
    <w:p>
      <w:pPr>
        <w:spacing w:after="120"/>
      </w:pPr>
      <w:r>
        <w:rPr>
          <w:rFonts w:ascii="Calibri" w:hAnsi="Calibri"/>
          <w:b/>
          <w:color w:val="6E8450"/>
          <w:sz w:val="18"/>
        </w:rPr>
        <w:t>GROWTH SLEEVE · 2026-10-16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Ensysce Biosciences is a clinical-stage pharmaceutical company developing abuse-deterrent and overdose-prevention opioid technologies. The company's proprietary TAAP (Trypsin Activated Abuse Protection) and MPAR (Multi-Pill Abuse Resistance) platforms are designed to address the opioid crisis by creating opioid analgesics that resist misuse while maintaining therapeutic efficacy. Lead candidate PF614 is a prodrug of oxycodone in a pivotal Phase 3 clinical trial (PF614-301, initiated Q3 2025), and PF614-MPAR has received FDA Breakthrough Therapy designation with a $14M NIDA grant supporting development [2][3]. The company has a market cap of approximately $11.6M, 8 employees, and TTM revenue of approximately $4.5M, primarily from licensing and milestone payments.</w:t>
      </w:r>
    </w:p>
    <w:p>
      <w:r>
        <w:rPr>
          <w:rFonts w:ascii="Calibri" w:hAnsi="Calibri"/>
          <w:b/>
          <w:color w:val="6E8450"/>
          <w:sz w:val="18"/>
        </w:rPr>
        <w:t>8 Employees · https://www.ensysce.com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Ensysce has developed two proprietary drug delivery platforms — TAAP and MPAR — that represent genuine pharmaceutical innovation in the opioid space. PF614 showed significantly reduced 'drug liking' compared to immediate-release oxycodone in clinical studies, and the MPAR platform earned FDA Breakthrough Therapy designation, validating the novelty of the approach [3]. However, no products have reached commercialization after 16+ years of development, and the company remains pre-commercial. AI Deployment (0/2): No evidence of AI deployment in drug development, clinical trial management, or any other operational area. The company is a traditional pharmaceutical development operation. Market Share (0/2): Pre-commercial company with 8 employees and an $11.6M market cap. No marketed products, no revenue from product sales, and no market share in any therapeutic category. Product Pipeline (1/2): PF614 pivotal Phase 3 trial (PF614-301) initiated in Q3 2025 with specific FDA-agreed endpoints, and PF614-MPAR holds FDA Breakthrough Therapy designation with $14M NIDA funding [2][3]. Pipeline is narrowly focused but has specific regulatory milestones and timelines. R&amp;D Intensity (1/1): As a clinical-stage biotech, essentially all spending is directed toward R&amp;D and clinical development. The company's entire $4.5M+ annual burn rate supports research activities, placing it well above pharmaceutical industry R&amp;D-to-revenue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Ensysce's purpose — developing abuse-deterrent and overdose-prevention opioid technologies to combat the opioid crisis — is clear, specific, and connects the company's work to one of America's most devastating public health crises. The focus on preventing opioid misuse and overdose death is genuinely purposeful, distinguishing Ensysce from generic pharmaceutical companies. However, the mission has not been validated by commercial execution or sustained through crisis. Community Impact (0/2): No evidence of community programs, charitable giving, or social impact initiatives beyond the direct therapeutic mission. An 8-employee company has limited capacity for community investment. Employee Retention (1/2): CEO Dr. Lynn Kirkpatrick co-founded the company and has served for approximately 16 years, demonstrating exceptional founder commitment and mission alignment [2]. However, with only 8 employees, this is a founding team persistence signal rather than organizational retention data. Insider Buying (0/2): No evidence of meaningful net insider buying in the last 12 months. The company's $11.6M market cap and micro-cap status limit the information available on insider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and PEG unavailable, Forward P/E excluded as negative/meaningless for an unprofitable company, 5yr revenue CAGR excluded due to near-zero historical revenue base). ROE of -1,295% vastly exceeds the negative floor (score 0.0, 2x weight), reflecting the company's deep cumulative losses against its diminished equity base [1]. Revenue growth of -15.1% YoY (score 0.16) indicates declining revenue from licensing and milestone payments. Profit margin of -280.5% (score 0.0) confirms the company is burning multiples of its revenue in operating expenses to fund Phase 3 clinical development. Available weighted sum: 0.16 / 4 weight units = Infrastructure 0. The balance sheet position is critically concerning: yfinance reports $676K cash (down from $2.2M in a mid-2025 analyst report), insufficient to fund a pivotal Phase 3 trial without significant additional financing [1][2]. Daily dollar volume of $8.4M provides adequate liquidity for the micro-cap tier.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Ensysce demonstrates pockets of infinite game thinking — the 16-year pursuit of abuse-deterrent opioid technology to address the opioid crisis represents genuine commitment to a cause beyond quarterly earnings. CEO Dr. Lynn Kirkpatrick's co-founding and sustained leadership through years of pre-commercial development reflects mission-driven perseverance. However, the company's existential fragility (8 employees, $676K cash, $11.6M market cap) means survival depends on continuous external financing rather than organizational sustainability. A company that cannot self-sustain cannot play the infinite game regardless of its intentions.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Combating the opioid crisis through abuse-deterrent and overdose-prevention technology constitutes a genuine Just Cause — it is service-oriented, idealistic, and connects the company's work to preventing hundreds of thousands of deaths. CEO Dr. Kirkpatrick's 16-year tenure building these platforms demonstrates that leadership decisions trace back to this purpose [2][3]. However, the cause has not been validated by commercial execution or tested through the kind of crisis and leadership transition that would earn a 3/3.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8 full-time employees, Ensysce is too small to meaningfully evaluate organizational trust dynamics. The company operates as a virtual pharmaceutical company outsourcing most clinical and manufacturing activities. No data on team culture, psychological safety, or employee empowerment is available or meaningful at this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Ensysce views its competitive landscape. The abuse-deterrent opioid space includes established players (Purdue Pharma's reformulated OxyContin, Collegium's Xtampza ER), but no public commentary from Ensysce management acknowledges learning from these competitors' approaches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strategic pivots or business model transformations. Ensysce has pursued the same TAAP and MPAR abuse-deterrent opioid platform strategy since founding. While strategic focus can be a virtue for a clinical-stage biotech, there is no evidence of flexibility or willingness to adapt the approach if the current clinical pathway does not succeed.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Persisting through 16+ years of pre-commercial pharmaceutical development with an 8-person team and micro-cap resources demonstrates genuine courage — leadership has repeatedly chosen to advance the mission over financial security, continuing to pursue FDA approval for abuse-deterrent opioids despite limited funding and the enormous costs of Phase 3 clinical trials [2][3]. However, this persistence may reflect necessity (no alternative exit path) as much as courageous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Ensysce at $0.60 with an $11.6M market cap represents a high-risk, high-reward bet on abuse-deterrent opioid technology addressing a $30B+ global pain management market. The company's PF614 prodrug demonstrated significantly reduced 'drug liking' versus immediate-release oxycodone in clinical studies, the pivotal Phase 3 trial (PF614-301) was initiated in Q3 2025, and PF614-MPAR holds FDA Breakthrough Therapy designation with $14M in NIDA grant funding — validating the scientific approach at the federal level [2][3]. If Phase 3 data reads out positively, the regulatory pathway and unmet medical need (100,000+ annual U.S. opioid deaths) could support a transformative valuation re-rating from the current micro-cap base. CEO Dr. Kirkpatrick's 16-year commitment to the platform provides strategic continuity.</w:t>
      </w:r>
    </w:p>
    <w:p>
      <w:pPr>
        <w:spacing w:after="120"/>
      </w:pPr>
      <w:r>
        <w:rPr>
          <w:rFonts w:ascii="Calibri" w:hAnsi="Calibri"/>
          <w:b w:val="0"/>
          <w:color w:val="3A4A28"/>
          <w:sz w:val="20"/>
        </w:rPr>
        <w:t>The bear case is existential. Ensysce has $676K in cash against annual operating losses exceeding $12M (implied by -280% profit margin on $4.5M revenue), making the company's survival dependent on imminent dilutive financing that would severely impact existing shareholders at a $0.60 stock price [1]. A mid-2025 analyst report cited $2.2M cash, meaning the burn rate is consuming the remaining runway at an alarming pace. Phase 3 clinical trials typically cost $50-100M for a single pivotal study — the $14M NIDA grant covers only a fraction of total development costs. With 8 employees and $11.6M market cap, the company has no margin for clinical setback, financing delay, or competitive advancement. The -15.1% YoY revenue decline suggests licensing revenue is eroding, not growing. Even successful Phase 3 results would require substantial additional capital for commercialization. ROE of -1,295% and book value of -$0.048/share indicate accumulated losses have consumed all equity.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PF614-301 clinical trial data readout — positive pivotal results would validate the TAAP platform and create a regulatory filing pathway, potentially driving a transformative re-rating from the $11.6M market cap [2][3]</w:t>
      </w:r>
    </w:p>
    <w:p>
      <w:pPr>
        <w:spacing w:before="40" w:after="40"/>
        <w:ind w:left="283"/>
      </w:pPr>
      <w:r>
        <w:rPr>
          <w:rFonts w:ascii="Calibri" w:hAnsi="Calibri"/>
          <w:b/>
          <w:color w:val="4A6B25"/>
          <w:sz w:val="20"/>
        </w:rPr>
        <w:t xml:space="preserve">2. </w:t>
      </w:r>
      <w:r>
        <w:rPr>
          <w:rFonts w:ascii="Calibri" w:hAnsi="Calibri"/>
          <w:b w:val="0"/>
          <w:color w:val="3A4A28"/>
          <w:sz w:val="20"/>
        </w:rPr>
        <w:t>FDA Breakthrough Therapy designation for PF614-MPAR provides accelerated regulatory review and increased FDA interaction, with $14M NIDA grant funding supporting the overdose-prevention program development [3]</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licensing deal — successful Phase 3 data could attract a large pharmaceutical partner for commercialization, providing upfront payments and eliminating the need for Ensysce to build commercial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Near-term financing risk — $676K cash against $12M+ annual operating losses means the company likely cannot fund operations through 2026 without dilutive capital raises at distressed valuations, potentially resulting in severe shareholder dilution or inability to continue as a going concern [1]</w:t>
      </w:r>
    </w:p>
    <w:p>
      <w:pPr>
        <w:spacing w:before="40" w:after="40"/>
        <w:ind w:left="283"/>
      </w:pPr>
      <w:r>
        <w:rPr>
          <w:rFonts w:ascii="Calibri" w:hAnsi="Calibri"/>
          <w:b/>
          <w:color w:val="4A6B25"/>
          <w:sz w:val="20"/>
        </w:rPr>
        <w:t xml:space="preserve">2. </w:t>
      </w:r>
      <w:r>
        <w:rPr>
          <w:rFonts w:ascii="Calibri" w:hAnsi="Calibri"/>
          <w:b w:val="0"/>
          <w:color w:val="3A4A28"/>
          <w:sz w:val="20"/>
        </w:rPr>
        <w:t>Phase 3 clinical trial failure — negative or ambiguous PF614-301 results would eliminate the primary value driver for a company with no commercial products, likely resulting in stock price collapse or delisting from the $0.60 level</w:t>
      </w:r>
    </w:p>
    <w:p>
      <w:pPr>
        <w:spacing w:before="40" w:after="40"/>
        <w:ind w:left="283"/>
      </w:pPr>
      <w:r>
        <w:rPr>
          <w:rFonts w:ascii="Calibri" w:hAnsi="Calibri"/>
          <w:b/>
          <w:color w:val="4A6B25"/>
          <w:sz w:val="20"/>
        </w:rPr>
        <w:t xml:space="preserve">3. </w:t>
      </w:r>
      <w:r>
        <w:rPr>
          <w:rFonts w:ascii="Calibri" w:hAnsi="Calibri"/>
          <w:b w:val="0"/>
          <w:color w:val="3A4A28"/>
          <w:sz w:val="20"/>
        </w:rPr>
        <w:t>Competitive obsolescence risk — abuse-deterrent opioid formulations from established players (Collegium's Xtampza ER, reformulated OxyContin) are already marketed, and the regulatory and payer landscape may not support a new entrant by the time Ensysce reaches commercialization readiness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Ensysce develops physical pharmaceutical products — abuse-deterrent opioid formulations that must undergo human clinical trials, FDA regulatory review, and physical manufacturing before reaching patients. AI cannot replace the physical drug itself, the clinical trial process, or the regulatory approval pathway [3]. The opioid abuse-deterrence niche is further protected by FDA Breakthrough Therapy designation and NIDA funding, creating regulatory moats that pure technology cannot circumvent. However, Ensysce scores 7 rather than 8-9 because: (1) AI is accelerating drug discovery for competitors, potentially bringing competing abuse-deterrent formulations to market faster; (2) AI-powered screening tools could shift the opioid treatment paradigm toward prevention and monitoring rather than abuse-deterrent formulations; and (3) as a pre-commercial company, Ensysce has no established market position to defend. AI Opportunity (0/1): No AI revenue. The company does not employ AI in its drug development process or generate any revenue from AI-related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Ensysce Biosciences Q1 FY2026 Financial Results — Revenue ~$961K (-27% YoY), Diluted EPS -$0.52 — SEC Filings, Benzinga, OpenCapital, May 2026</w:t>
      </w:r>
    </w:p>
    <w:p>
      <w:pPr>
        <w:spacing w:before="20" w:after="20"/>
        <w:ind w:left="170"/>
      </w:pPr>
      <w:r>
        <w:rPr>
          <w:rFonts w:ascii="Calibri" w:hAnsi="Calibri"/>
          <w:b/>
          <w:color w:val="4A6B25"/>
          <w:sz w:val="15"/>
        </w:rPr>
        <w:t xml:space="preserve">2. </w:t>
      </w:r>
      <w:r>
        <w:rPr>
          <w:rFonts w:ascii="Calibri" w:hAnsi="Calibri"/>
          <w:b w:val="0"/>
          <w:color w:val="3A4A28"/>
          <w:sz w:val="17"/>
        </w:rPr>
        <w:t>Ensysce Biosciences Leadership and Pipeline — CEO Dr. Lynn Kirkpatrick 16-Year Tenure, Executive Team Additions, Phase 3 PF614-301 Initiation — BioSpace, TipRanks, SimplyWall.St, 2024-2026</w:t>
      </w:r>
    </w:p>
    <w:p>
      <w:pPr>
        <w:spacing w:before="20" w:after="20"/>
        <w:ind w:left="170"/>
      </w:pPr>
      <w:r>
        <w:rPr>
          <w:rFonts w:ascii="Calibri" w:hAnsi="Calibri"/>
          <w:b/>
          <w:color w:val="4A6B25"/>
          <w:sz w:val="15"/>
        </w:rPr>
        <w:t xml:space="preserve">3. </w:t>
      </w:r>
      <w:r>
        <w:rPr>
          <w:rFonts w:ascii="Calibri" w:hAnsi="Calibri"/>
          <w:b w:val="0"/>
          <w:color w:val="3A4A28"/>
          <w:sz w:val="17"/>
        </w:rPr>
        <w:t>Ensysce Biosciences Clinical Development — PF614-MPAR FDA Breakthrough Therapy Designation, $14M NIDA Award, Phase 3 Trial Progress — Zacks SCR Research, BioSpace Press Releases,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