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EOG</w:t>
      </w:r>
      <w:r>
        <w:rPr>
          <w:rFonts w:ascii="Calibri" w:hAnsi="Calibri"/>
          <w:b/>
          <w:color w:val="1A2010"/>
          <w:sz w:val="40"/>
        </w:rPr>
        <w:t xml:space="preserve">  EOG Resources, Inc.</w:t>
      </w:r>
    </w:p>
    <w:p>
      <w:pPr>
        <w:spacing w:after="120"/>
      </w:pPr>
      <w:r>
        <w:rPr>
          <w:rFonts w:ascii="Calibri" w:hAnsi="Calibri"/>
          <w:b/>
          <w:color w:val="6E8450"/>
          <w:sz w:val="18"/>
        </w:rPr>
        <w:t>DIVIDEND SLEEVE · 2026-10-19 · Inspire: 35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E&amp;P · NYQ · United States</w:t>
      </w:r>
    </w:p>
    <w:p>
      <w:pPr>
        <w:spacing w:after="80"/>
      </w:pPr>
      <w:r>
        <w:rPr>
          <w:rFonts w:ascii="Calibri" w:hAnsi="Calibri"/>
          <w:b w:val="0"/>
          <w:color w:val="3A4A28"/>
          <w:sz w:val="20"/>
        </w:rPr>
        <w:t>EOG Resources explores for, develops, produces, and markets crude oil, natural gas liquids, and natural gas primarily in the United States' premier shale basins including the Delaware Basin, Eagle Ford, and Powder River Basin. Q2 2026 revenue reached $8.62B with total production of 1.41 million boepd (+24% YoY) and adjusted EPS of $5.07. The company maintains a fortress balance sheet with D/E of 25.9%, ROE of 22.5%, and 25.7% profit margins. Founded in 1985 (formerly Enron Oil &amp; Gas) and headquartered in Houston, Texas, EOG employs 3,400 people.</w:t>
      </w:r>
    </w:p>
    <w:p>
      <w:r>
        <w:rPr>
          <w:rFonts w:ascii="Calibri" w:hAnsi="Calibri"/>
          <w:b/>
          <w:color w:val="6E8450"/>
          <w:sz w:val="18"/>
        </w:rPr>
        <w:t>3,400 Employees · https://www.eogresources.com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EOG pioneered horizontal drilling techniques and was among the first E&amp;P companies to apply data analytics and AI to production optimization, helping define the modern shale revolution [3]. However, these foundational innovations occurred more than five years ago; recent execution focuses on optimizing existing basin positions and improving well economics through operational efficiency rather than launching transformative new products or business models. AI Deployment (1/2): EOG was an early AI adopter in E&amp;P, using artificial intelligence to enhance productivity through automation of drilling, completion, and production operations [3]. These AI applications generate quantified efficiency gains through reduced drilling times and improved well targeting, though the company does not separately report AI-related cost savings. Market Share (1/2): EOG is one of the largest independent E&amp;P companies in the United States, producing 1.41 million boepd in Q2 2026 — a meaningful position in a highly fragmented industry [1]. The company commands premium acreage positions in the Delaware Basin and Eagle Ford but operates in a commodity market where market share is less differentiating than operational efficiency. Product Pipeline (0/2): Oil and gas E&amp;P companies do not have traditional product pipelines. EOG's 'inventory' is its drilling locations and acreage positions, which management describes as multi-decade in depth [1][2]. However, this represents existing asset exploitation rather than next-generation product development. R&amp;D Intensity (1/1): EOG invests meaningfully in proprietary technology through in-house teams focused on drilling optimization, reservoir characterization, and completion design — above typical E&amp;P peers who rely more on service company technology [3][4].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EOG's purpose centers on being a returns-focused, technology-driven E&amp;P company where culture is 'the single most important factor behind long-term success' [4]. While this is more thoughtful than generic corporate boilerplate — the explicit elevation of culture as the primary competitive advantage is distinctive — it still frames success primarily in financial terms (returns-focused) rather than articulating a deeper purpose beyond shareholder value creation. Community &amp; Charitable Impact (0/2): No evidence of distinctive charitable programs, foundation work, or community investment beyond standard corporate giving. EOG's sustainability reporting addresses environmental and governance matters but no specific dollar amounts for community programs were identified. Employee Retention (1/2): EOG's decentralized, bottom-up decision-making culture is well-regarded in the E&amp;P industry. The retirement of longtime executive Billy Helms after decades of service suggests long employee tenure, and CEO Ezra Yacob's internal promotion from within EOG's ranks demonstrates a promote-from-within culture [3][4]. No specific turnover metrics are available. Insider Buying (0/2): No evidence of meaningful net insider buying by CEO Yacob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with near-perfect metrics across the board. D/E of 25.9% is well below the 70% target (score 1.0), reflecting EOG's fortress balance sheet philosophy with only $8.2B debt against $4.9B cash [5]. ROE of 22.5% exceeds the 15% target (score 1.0), and profit margin of 25.7% surpasses the 20% target (score 1.0) [5]. Revenue growth YoY of 58.7% (score 1.0) reflects commodity price tailwinds in H1 2026, while estimated 5-year CAGR of approximately 7.5% scores 0.83 [1][2]. Forward P/E of 10.0x is half the 20 target (score 1.0), representing deep value for a high-quality operator. Dividend metrics are strong: payout ratio of 31.4% (score 1.0), estimated 15+ consecutive years paid (score 1.0, 2x weight), approximately 8 consecutive years of dividend growth (score 0.8), and estimated 5-year dividend growth CAGR of approximately 20% (score 1.0, 2x weight) reflecting aggressive regular dividend increases [5]. Daily dollar volume of $478M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EOG demonstrates a distinctive blend of finite and infinite game characteristics. The company's returns-focused capital allocation philosophy is inherently finite — it optimizes for shareholder value rather than pursuing a Just Cause beyond profitability. However, the pattern of courageous long-term decision-making — maintaining capital discipline when peers over-levered during the shale boom, investing in proprietary technology over decades, and building a culture that empowers 3,400 employees through decentralized decision-making — reflects infinite game thinking in execution if not in stated purpose. The successful transformation from Enron's gas subsidiary to a premier independent oil producer demonstrates existential flexibility.</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EOG's stated purpose is fundamentally returns-focused — being 'one of the best E&amp;P companies' through disciplined capital allocation and technology-driven execution [4]. Sinek would identify this as a finite objective: it describes winning in a competitive category rather than advancing a cause so compelling that people would sacrifice to pursue it. The elevation of culture as the primary competitive advantage shows intentionality, but the purpose remains defined by financial outcomes rather than a vision of a better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EOG's decentralized, bottom-up decision-making culture empowers individual engineers and geoscientists to identify and develop resources independently — a structure that requires and builds organizational trust [4]. CEO Ezra Yacob was promoted from within after decades at EOG, and longtime executive Billy Helms' retirement after decades of service suggests high retention among senior leaders [3]. The 3,400-person workforce is lean for a major E&amp;P producer, implying high individual responsibility and empowerment. No specific turnover metrics are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how EOG frames its competitive relationship with peers like Pioneer Natural Resources, Devon Energy, or ConocoPhillips. E&amp;P competitive language typically centers on financial metrics (returns on capital employed, cost per barrel) and operational benchmarks, reflecting a finite mindset of winning on measurable performance rather than learning from rivals' strengths.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EOG successfully transformed from Enron Oil &amp; Gas (primarily a natural gas producer) into an independent crude oil-focused E&amp;P powerhouse, shifting its resource base when oil economics became more attractive than gas [3][4]. The company also pivoted from conventional drilling to horizontal shale development earlier than most peers. These strategic shifts were significant but evolutionary — driven by economic opportunity rather than a cause — and did not require abandoning a profitable core business.</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EOG demonstrates a consistent pattern of choosing long-term capability over short-term results. During the 2014-2016 and 2019-2020 oil price collapses, EOG maintained disciplined capital spending when peers were either over-investing or capitulating — a costly near-term choice that preserved balance sheet strength and premium asset quality [2][4]. The company's returns-focused framework explicitly rejects pursuing production growth for growth's sake, walking away from economically marginal drilling opportunities that would boost near-term volumes. Management invested in proprietary technology (data analytics, AI, drilling optimization) over decades when the returns were uncertain, building capabilities that now provide structural cost advantages [3]. The $6.3-$6.7B 2026 capital budget demonstrates continued discipline despite $8.6B quarterly revenue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EOG at $158 with an $83B market cap is the gold standard for returns-focused E&amp;P, delivering Q2 2026 revenue of $8.62B with production of 1.41 million boepd (+24% YoY) and adjusted EPS of $5.07 against a fortress balance sheet with D/E of just 25.9%, ROE of 22.5%, and 25.7% profit margins [1][2]. The stock trades at 10.0x forward earnings — half the S&amp;P 500 multiple — for a company generating $13.4B in operating cash flow and $4.5B in free cash flow, with a 2.58% dividend yield growing at approximately 20% CAGR over five years plus variable special dividends [5]. Capital discipline is embedded in the culture: the $6.3-$6.7B capex budget is well within cash flows, multi-decade drilling inventory provides long-duration growth visibility, and proprietary technology investments give EOG structural cost advantages in the Delaware Basin and Eagle Ford [1][2]. The Inspire Impact Score of 35 (ALIGNED) is favorable for faith-based investors.</w:t>
      </w:r>
    </w:p>
    <w:p>
      <w:pPr>
        <w:spacing w:after="120"/>
      </w:pPr>
      <w:r>
        <w:rPr>
          <w:rFonts w:ascii="Calibri" w:hAnsi="Calibri"/>
          <w:b w:val="0"/>
          <w:color w:val="3A4A28"/>
          <w:sz w:val="20"/>
        </w:rPr>
        <w:t>The bear case centers on commodity price exposure and the energy transition. EOG's revenue grew 58.7% YoY in Q2 2026 largely due to commodity price tailwinds — the 5-year revenue CAGR of approximately 7.5% reveals more modest underlying growth when prices normalize [5]. Oil price declines to $60/bbl (from current ~$80) would compress margins meaningfully, and EOG's returns-focused framework would lead management to cut activity rather than defend production volumes, potentially triggering earnings downgrades of 30-40%. The PEG ratio of 1.2 suggests the market already views EOG as fairly valued for its growth profile. Long-term energy transition risk is real: as global oil demand approaches peak (consensus mid-2030s), E&amp;P companies face secular volume headwinds that returns-focused capital discipline alone cannot offset. The company's 3,400-person lean workforce and limited geographic diversification (primarily U.S. shale) create operational concentration risk. Sustainalytics rates EOG at 34.4 'High' ESG risk, ranked 66 of 309 in oil and gas, reflecting sector-level environmental concerns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Production growth to 1.41 million boepd (+24% YoY) with multi-decade drilling inventory depth in the Delaware Basin and Eagle Ford, providing visible volume growth that compounds with commodity price leverage for outsized earnings upside [1][2]</w:t>
      </w:r>
    </w:p>
    <w:p>
      <w:pPr>
        <w:spacing w:before="40" w:after="40"/>
        <w:ind w:left="283"/>
      </w:pPr>
      <w:r>
        <w:rPr>
          <w:rFonts w:ascii="Calibri" w:hAnsi="Calibri"/>
          <w:b/>
          <w:color w:val="4A6B25"/>
          <w:sz w:val="20"/>
        </w:rPr>
        <w:t xml:space="preserve">2. </w:t>
      </w:r>
      <w:r>
        <w:rPr>
          <w:rFonts w:ascii="Calibri" w:hAnsi="Calibri"/>
          <w:b w:val="0"/>
          <w:color w:val="3A4A28"/>
          <w:sz w:val="20"/>
        </w:rPr>
        <w:t>Aggressive dividend growth trajectory — regular dividend CAGR of approximately 20% over five years plus periodic special dividends, funded by $4.5B in annual free cash flow and a 31.4% payout ratio that leaves substantial room for continued increases [5]</w:t>
      </w:r>
    </w:p>
    <w:p>
      <w:pPr>
        <w:spacing w:before="40" w:after="40"/>
        <w:ind w:left="283"/>
      </w:pPr>
      <w:r>
        <w:rPr>
          <w:rFonts w:ascii="Calibri" w:hAnsi="Calibri"/>
          <w:b/>
          <w:color w:val="4A6B25"/>
          <w:sz w:val="20"/>
        </w:rPr>
        <w:t xml:space="preserve">3. </w:t>
      </w:r>
      <w:r>
        <w:rPr>
          <w:rFonts w:ascii="Calibri" w:hAnsi="Calibri"/>
          <w:b w:val="0"/>
          <w:color w:val="3A4A28"/>
          <w:sz w:val="20"/>
        </w:rPr>
        <w:t>AI data center-driven natural gas demand creating a secular tailwind for EOG's growing gas production, with U.S. natural gas demand projected to increase 15-20% by 2030 from data center and LNG export expansion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Commodity price sensitivity — a decline in WTI crude to $60/bbl from current levels would compress earnings 30-40% and trigger capital spending reductions under EOG's returns-focused framework, as the 5-year revenue CAGR of 7.5% reveals modest growth ex commodity tailwinds [5]</w:t>
      </w:r>
    </w:p>
    <w:p>
      <w:pPr>
        <w:spacing w:before="40" w:after="40"/>
        <w:ind w:left="283"/>
      </w:pPr>
      <w:r>
        <w:rPr>
          <w:rFonts w:ascii="Calibri" w:hAnsi="Calibri"/>
          <w:b/>
          <w:color w:val="4A6B25"/>
          <w:sz w:val="20"/>
        </w:rPr>
        <w:t xml:space="preserve">2. </w:t>
      </w:r>
      <w:r>
        <w:rPr>
          <w:rFonts w:ascii="Calibri" w:hAnsi="Calibri"/>
          <w:b w:val="0"/>
          <w:color w:val="3A4A28"/>
          <w:sz w:val="20"/>
        </w:rPr>
        <w:t>Energy transition risk — global oil demand approaching peak (consensus mid-2030s) creates secular volume headwinds for E&amp;P companies, and EOG's pure-play upstream positioning offers no offset from midstream, refining, or renewable diversification</w:t>
      </w:r>
    </w:p>
    <w:p>
      <w:pPr>
        <w:spacing w:before="40" w:after="40"/>
        <w:ind w:left="283"/>
      </w:pPr>
      <w:r>
        <w:rPr>
          <w:rFonts w:ascii="Calibri" w:hAnsi="Calibri"/>
          <w:b/>
          <w:color w:val="4A6B25"/>
          <w:sz w:val="20"/>
        </w:rPr>
        <w:t xml:space="preserve">3. </w:t>
      </w:r>
      <w:r>
        <w:rPr>
          <w:rFonts w:ascii="Calibri" w:hAnsi="Calibri"/>
          <w:b w:val="0"/>
          <w:color w:val="3A4A28"/>
          <w:sz w:val="20"/>
        </w:rPr>
        <w:t>Sustainalytics 'High' ESG risk rating of 34.4 (ranked 66/309 in oil &amp; gas) and historical shareholder proposals on hydraulic fracturing reflect ongoing environmental and governance pressure that could limit institutional investor appetite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EOG's core business — physical exploration, drilling, and production of crude oil and natural gas from underground reservoirs — is structurally immune to AI substitution [1][2]. Extracting hydrocarbons requires physical drilling rigs, completion equipment, and production infrastructure that AI cannot replace. AI may optimize well placement and production operations (and EOG was an early adopter of these applications), but it cannot substitute for the physical activity of oil and gas production [3]. Furthermore, AI dramatically increases demand for energy through data center power consumption, providing a direct secular tailwind for natural gas demand. The only risk is that AI-accelerated renewable energy deployment could reduce long-term oil demand, but near-term natural gas demand is structurally increased by AI. AI Opportunity (1/1): EOG deploys AI operationally for drilling optimization, reservoir characterization, and production automation, generating quantified productivity improvements that directly enhance production economics [3]. While not a separate revenue stream, these AI applications represent meaningful AI-driven value creation within the core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EOG Resources Q2 2026 Earnings — Revenue $8.62B, Production 1.41M boepd (+24% YoY), Adjusted EPS $5.07, Capital Budget $6.3-$6.7B, Nasdaq/SentiSense, August 2026</w:t>
      </w:r>
    </w:p>
    <w:p>
      <w:pPr>
        <w:spacing w:before="20" w:after="20"/>
        <w:ind w:left="170"/>
      </w:pPr>
      <w:r>
        <w:rPr>
          <w:rFonts w:ascii="Calibri" w:hAnsi="Calibri"/>
          <w:b/>
          <w:color w:val="4A6B25"/>
          <w:sz w:val="15"/>
        </w:rPr>
        <w:t xml:space="preserve">2. </w:t>
      </w:r>
      <w:r>
        <w:rPr>
          <w:rFonts w:ascii="Calibri" w:hAnsi="Calibri"/>
          <w:b w:val="0"/>
          <w:color w:val="3A4A28"/>
          <w:sz w:val="17"/>
        </w:rPr>
        <w:t>EOG Resources Q1 2026 Earnings — Revenue $6.92B (+22% YoY), Beat $6.3B Consensus, Adjusted EPS $3.41, Strong Output Growth, Nasdaq, May 2026</w:t>
      </w:r>
    </w:p>
    <w:p>
      <w:pPr>
        <w:spacing w:before="20" w:after="20"/>
        <w:ind w:left="170"/>
      </w:pPr>
      <w:r>
        <w:rPr>
          <w:rFonts w:ascii="Calibri" w:hAnsi="Calibri"/>
          <w:b/>
          <w:color w:val="4A6B25"/>
          <w:sz w:val="15"/>
        </w:rPr>
        <w:t xml:space="preserve">3. </w:t>
      </w:r>
      <w:r>
        <w:rPr>
          <w:rFonts w:ascii="Calibri" w:hAnsi="Calibri"/>
          <w:b w:val="0"/>
          <w:color w:val="3A4A28"/>
          <w:sz w:val="17"/>
        </w:rPr>
        <w:t>Hart Energy — Mark Papa Hall of Fame Profile: EOG Pioneered Horizontal Drilling, Early AI Adoption, Data Analytics Application in E&amp;P, 2023</w:t>
      </w:r>
    </w:p>
    <w:p>
      <w:pPr>
        <w:spacing w:before="20" w:after="20"/>
        <w:ind w:left="170"/>
      </w:pPr>
      <w:r>
        <w:rPr>
          <w:rFonts w:ascii="Calibri" w:hAnsi="Calibri"/>
          <w:b/>
          <w:color w:val="4A6B25"/>
          <w:sz w:val="15"/>
        </w:rPr>
        <w:t xml:space="preserve">4. </w:t>
      </w:r>
      <w:r>
        <w:rPr>
          <w:rFonts w:ascii="Calibri" w:hAnsi="Calibri"/>
          <w:b w:val="0"/>
          <w:color w:val="3A4A28"/>
          <w:sz w:val="17"/>
        </w:rPr>
        <w:t>EOG Resources 2019 Annual Report — Culture of Innovation, Decentralized Decision-Making, Technology-Driven Approach, Returns-Focused Capital Allocation, CEO William Thomas Letter</w:t>
      </w:r>
    </w:p>
    <w:p>
      <w:pPr>
        <w:spacing w:before="20" w:after="20"/>
        <w:ind w:left="170"/>
      </w:pPr>
      <w:r>
        <w:rPr>
          <w:rFonts w:ascii="Calibri" w:hAnsi="Calibri"/>
          <w:b/>
          <w:color w:val="4A6B25"/>
          <w:sz w:val="15"/>
        </w:rPr>
        <w:t xml:space="preserve">5. </w:t>
      </w:r>
      <w:r>
        <w:rPr>
          <w:rFonts w:ascii="Calibri" w:hAnsi="Calibri"/>
          <w:b w:val="0"/>
          <w:color w:val="3A4A28"/>
          <w:sz w:val="17"/>
        </w:rPr>
        <w:t>Yahoo Finance — EOG Key Statistics, Stock Price $158.01, Market Cap $83B, D/E 25.9%, Forward P/E 10.0x, ROE 22.5%, Dividend Yield 2.58%,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