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EONR</w:t>
      </w:r>
      <w:r>
        <w:rPr>
          <w:rFonts w:ascii="Calibri" w:hAnsi="Calibri"/>
          <w:b/>
          <w:color w:val="1A2010"/>
          <w:sz w:val="40"/>
        </w:rPr>
        <w:t xml:space="preserve">  EON Resources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34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Energy · Oil &amp; Gas E&amp;P · NYSE American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EON Resources is a small independent oil and gas producer focused on Permian Basin assets, with trailing revenue of about $17M and a planned San Andres horizontal drilling program. Limited public research was available for this company.</w:t>
      </w:r>
    </w:p>
    <w:p>
      <w:r>
        <w:rPr>
          <w:rFonts w:ascii="Calibri" w:hAnsi="Calibri"/>
          <w:b/>
          <w:color w:val="6E8450"/>
          <w:sz w:val="18"/>
        </w:rPr>
        <w:t>https://eon-r.com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Recapitalized and refocused on Permian assets after a SPAC-era restructuring [1]. AI Deployment (0/2): None evident. Market Share (0/2): Micro-cap producer. Pipeline (1/2): Horizontal San Andres program potentially yielding up to 20M barrels, 2026 EBITDA forecast raised to $6M [1]. R&amp;D Intensity (0/1): Not applicable.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Generic energy-producer positioning. Community (0/2), Retention (0/2), Insider Buying (0/2): No evidence found for any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applied: 726,503 average daily shares x $0.49 = about $356K, below the $1M threshold, so Infrastructure = 0. For reference, revenue is -23.7%, margin -62.1%, ROE -26.6%, and D/E 7.6%.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EON is a small commodity producer with no articulated cause beyond production growth, and little evidence of long-horizon culture or courageous capital allocation.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cause beyond production and EBITDA growth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No red flags found, but no culture data exists for this company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Evolved from SPAC to producer and now to horizontal drilling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costly principled decisions.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EON Resources targets Permian growth: 2026 EBITDA guidance was raised to $6M, a San Andres horizontal program could unlock up to 20M barrels, and analysts model 2026 revenue near $45.9M on elevated oil prices [1]. D/E is low at 7.6%.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case: revenue fell 24% in 2024 and about 20% TTM to $17.3M, profit margin is -62%, ROE is -26.6%, and the $27M market cap with $356K daily dollar volume makes it effectively untradeable for IOWN [1]. Growth depends on executing an unfunded-looking drilling program and on oil prices.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Start of the San Andres horizontal drilling program in 2026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Elevated oil prices lifting realized prices and EBITDA toward $6M+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Management plan to double EBITDA repeatedly this decade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Illiquidity: about $356K daily dollar volume, below IOWN's $1M floor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Declining revenue (-23.7%) and -62% margin; going-concern-type financing risk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Commodity price exposure and drilling execution risk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Upstream oil and gas production is physical-world, so AI cannot substitute for it, and no analyst concern was found; AI mainly affects operating tools [1]. AI Opportunity (0/1): No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EON Resources earnings and 2026 outlook, TipRanks, StockAnalysis, Yahoo transcript, Timothy Sykes,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General web search found no company-specific ESG or culture data for EON Resources (results returned E.ON SE)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