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EOSE</w:t>
      </w:r>
      <w:r>
        <w:rPr>
          <w:rFonts w:ascii="Calibri" w:hAnsi="Calibri"/>
          <w:b/>
          <w:color w:val="1A2010"/>
          <w:sz w:val="40"/>
        </w:rPr>
        <w:t xml:space="preserve">  Eos Energy Enterprises, Inc.</w:t>
      </w:r>
    </w:p>
    <w:p>
      <w:pPr>
        <w:spacing w:after="120"/>
      </w:pPr>
      <w:r>
        <w:rPr>
          <w:rFonts w:ascii="Calibri" w:hAnsi="Calibri"/>
          <w:b/>
          <w:color w:val="6E8450"/>
          <w:sz w:val="18"/>
        </w:rPr>
        <w:t>GROWTH SLEEVE · 2026-10-05 · Inspire: 69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55</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Electrical Equipment &amp; Parts · NASDAQ · United States</w:t>
      </w:r>
    </w:p>
    <w:p>
      <w:pPr>
        <w:spacing w:after="80"/>
      </w:pPr>
      <w:r>
        <w:rPr>
          <w:rFonts w:ascii="Calibri" w:hAnsi="Calibri"/>
          <w:b w:val="0"/>
          <w:color w:val="3A4A28"/>
          <w:sz w:val="20"/>
        </w:rPr>
        <w:t>Eos Energy Enterprises designs, develops, manufactures, and markets zinc-based battery energy storage systems for utility-scale, microgrid, and commercial/industrial applications. The company's Znyth technology offers a non-lithium alternative for 3- to 12-hour discharge duration. Products include the Z3 battery module, Eos Cube, and DawnOS AI-enabled analytics platform. Q2 2026 delivered record revenue of $68.8M (+351% YoY) with H1 2026 revenue of $125.7M exceeding all of FY2025. Record backlog of $807M and $24.6B commercial pipeline. FY2026 guidance tightened to $300-350M. Manufacturing consolidated at Thorn Hill facility. Targeting positive adjusted gross margin by Q4 2026. Market cap approximately $1.2B.</w:t>
      </w:r>
    </w:p>
    <w:p>
      <w:r>
        <w:rPr>
          <w:rFonts w:ascii="Calibri" w:hAnsi="Calibri"/>
          <w:b/>
          <w:color w:val="6E8450"/>
          <w:sz w:val="18"/>
        </w:rPr>
        <w:t>430 Employees · https://www.eose.com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Eos delivered record Q2 2026 revenue of $68.8M (+351% YoY), with H1 2026 revenue of $125.7M already exceeding full-year FY2025 revenue, demonstrating accelerating commercial traction after 15+ years developing proprietary Znyth zinc-based battery chemistry as a lithium-ion alternative [1]. The Frontier Power USA joint venture with Cerberus-affiliated entities ($263M in capital) opens a new project development channel. However, the company remains deeply unprofitable with negative adjusted gross margin, and guidance was tightened from $300-400M to $300-350M [1]. AI Deployment (1/2): DawnOS Insights is an AI-enabled analytics platform delivering real-time visibility into energy storage performance with predictive analytics — a shipping AI product integrated into every deployment. The addition of former NetApp CloudOps executive Haiyan Song (AI infrastructure expertise) to the board signals AI integration as a strategic priority [2][3]. Market Share (1/2): Eos holds a meaningful position in non-lithium long-duration storage with $807M record backlog (+25% QoQ) and a $24.6B commercial pipeline, but faces intensifying competition from lithium-ion providers entering the 4+ hour segment at competitive prices [1]. Product Pipeline (1/2): FY2026 guidance of $300-350M with $807M backlog and Frontier Power USA JV supporting $1B+ in deployable project capital provide near-term growth visibility, plus manufacturing consolidation at Thorn Hill designed to improve unit economics [1]. R&amp;D Intensity (1/1): Significant R&amp;D investment relative to revenue, developing proprietary zinc chemistry, manufacturing automation, and AI-enabled monitoring systems across a 15-year technology development arc.</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Eos articulates a specific and thoughtful purpose — 'reimagining long-duration energy storage by applying ingenuity to zinc-powered chemistry' to enable 'grid stability, unlock growth for AI and electrified industries, and advance energy independence' [2]. CEO Mastrangelo's Pittsburgh-based culture of resilience ('take a punch and keep going') and his vision of revitalizing America's ability to design and manufacture industrial-scale technologies adds authentic differentiation. Community Impact (1/2): American-made manufacturing in Pittsburgh creating domestic jobs, products with 84% lower GHG footprint and 71% lower water usage than lithium-ion, and the Frontier Power USA JV supporting domestic energy infrastructure [4]. However, no specific charitable foundation or community investment programs with dollar amounts were identified. Employee Retention (0/2): Headcount dropped approximately 45% from 787 to 430 employees, suggesting significant organizational instability during a critical scale-up phase as manufacturing consolidated at Thorn Hill. Prior Glassdoor ratings of 2.5/5 with 30% recommending are deeply concerning for organizational trust [4]. Insider Buying (0/2): Mixed insider activity — CEO Mastrangelo bought $502K but sold $574K in shares, with an overall pattern of more sales than purchases in recent months. Net insider selling undermines conviction narrative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Revenue growth YoY of 351% scores 1.0 (capped), which is the sole meaningful positive contributor [1]. Stockholders' equity is deeply negative at -$2.24B, with $834M in total debt against $885M in total assets — D/E is mathematically negative (score 0) [6]. ROE is deeply negative due to negative equity despite revenue growth (score 0 at 2x weight). Forward P/E of -18.5 reflects expected continued losses (score 0). Profit margin of -247% (TTM) scores 0, reflecting that the company loses substantially more than it earns on every dollar of revenue [6]. Revenue growth 5yr CAGR and PEG are unavailable (excluded). Weighted sum of 1.0 on max weighted sum of 6 yields Infrastructure 2. The stock has fallen to $3.21, declining from highs as the market prices in execution risk and the tightened guidance. Liquidity passes: $3.21 x ~27.3M avg vol = ~$87.6M daily trading volume.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Eos demonstrates meaningful infinite-game qualities in its 15+ year commitment to zinc-based battery technology as a cleaner alternative to lithium-ion, persisting through $2B+ in cumulative losses and deep market skepticism. CEO Mastrangelo has maintained the long-duration storage vision since 2019, and the pivot to target AI data center demand shows adaptive thinking. However, the ~45% workforce reduction from 787 to 430 employees, prior Glassdoor ratings of 2.5/5, and persistent inability to achieve profitability suggest the internal culture may not support the organizational trust that infinite game thinking requires.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Eos's commitment to non-lithium, non-cobalt battery technology addresses genuine environmental and supply chain concerns — zinc is abundant, non-toxic, and domestically sourced, with 84% lower GHG footprint than lithium-ion [4]. The vision of enabling the clean energy transition through safer, more sustainable energy storage has been maintained through 15+ years of development despite massive losses. CEO Mastrangelo connects the mission to American energy independence and grid resilience for AI infrastructure [2]. However, the cause has not yet been validated by sustained commercial success or profitability, and persistent losses raise the question of whether the cause is achievable.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The ~45% workforce reduction from 787 to 430 employees is a severe negative signal for organizational trust during a critical manufacturing scale-up phase. Prior Glassdoor ratings of 2.5/5.0 with only 30% recommending the company and reviews citing poor culture and chaotic management expectations suggest a low-trust environment [4]. While CEO Mastrangelo emphasizes Pittsburgh grit and resilience, the organizational instability fundamentally undermines the Circle of Safety that Sinek considers foundational to infinite game thinking.</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Eos competes against lithium-ion providers (Tesla, Fluence, CATL) and other long-duration storage technologies (Form Energy, ESS Inc.). The company's competitive language focuses on differentiating through zinc's environmental advantages (84% lower GHG, 71% lower water usage) and domestic manufacturing rather than attacking competitors [2][4]. CEO Mastrangelo frames competition as validation of the long-duration storage market rather than a zero-sum battle.</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Eos has adapted its go-to-market strategy by pivoting to actively pursue AI data center infrastructure as a high-growth market, with CEO Mastrangelo calling AI an 'accelerant' [2]. The Frontier Power USA joint venture with Cerberus ($263M) opens a project development channel beyond pure battery sales. The manufacturing consolidation at Thorn Hill represents structural adaptation. These are meaningful incremental adaptations but not a transformative business model reinvention — the core zinc battery technology thesis remains unchanged.</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Maintaining commitment to zinc battery technology through $2B+ in cumulative losses over 15 years, when lithium-ion dominated the market, demonstrates genuine long-term conviction [1]. CEO Mastrangelo continues to invest in production scale-up and targets positive adjusted gross margin by Q4 2026 despite persistent analyst skepticism. The Frontier Power USA JV with Cerberus ($263M) shows willingness to pursue creative capital solutions. However, the tightened FY2026 guidance (from $300-400M to $300-350M) and ongoing workforce reductions suggest courage tempered by financial necessity.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Eos Energy delivered record Q2 2026 revenue of $68.8M (+351% YoY) with H1 revenue of $125.7M exceeding all of FY2025, demonstrating accelerating commercial traction for its zinc-based battery technology [1]. Record backlog of $807M (+25% QoQ) and a $24.6B commercial pipeline provide multi-year revenue visibility, with FY2026 guidance tightened to $300-350M [1]. The AI data center demand tailwind is powerful — CEO Mastrangelo calls AI an 'accelerant' as every new data center increases grid-scale storage demand, and the addition of AI infrastructure expert Haiyan Song to the board reinforces this strategic alignment [2][3]. Zinc's environmental advantages (84% lower GHG, 71% lower water vs lithium-ion) and domestic manufacturing position Eos favorably for IRA incentives [4]. The Inspire Impact Score of 69 (ALIGNED) with zero negative attributions and 14 positive ESG attributes makes this one of the strongest faith-alignment profiles in the screening universe. At $3.21 (~$1.2B market cap), the stock trades at ~1.5x backlog and ~3.5x FY2026 revenue midpoint, cheap if the company reaches profitability.</w:t>
      </w:r>
    </w:p>
    <w:p>
      <w:pPr>
        <w:spacing w:after="120"/>
      </w:pPr>
      <w:r>
        <w:rPr>
          <w:rFonts w:ascii="Calibri" w:hAnsi="Calibri"/>
          <w:b w:val="0"/>
          <w:color w:val="3A4A28"/>
          <w:sz w:val="20"/>
        </w:rPr>
        <w:t>The bear case is severe. Eos has accumulated $2B+ in cumulative losses and Q2 2026 adjusted gross margin remained deeply negative, meaning the company loses money on every battery it sells [1]. The path to positive adjusted gross margin by Q4 2026 is unproven at scale, and any further delay would likely be devastating for credibility and access to capital. The stock has declined significantly as the market prices in persistent execution risk. Guidance was tightened downward from $300-400M to $300-350M. The ~45% workforce reduction to 430 employees suggests organizational instability during a critical ramp phase, and prior Glassdoor ratings of 2.5/5 indicate cultural dysfunction [4]. Stockholders' equity is deeply negative at -$2.24B with $834M in total debt — a balance sheet that could force dilutive capital raises [6]. Lithium-ion competitors are entering the 4+ hour segment at competitive prices, threatening Eos's differentiation. If Eos cannot demonstrate positive gross margin by Q4 2026 as guided, the ability to sustain operations may be fundamentally impaired.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Achieving positive adjusted gross margin by Q4 2026 as guided — this is the single most important milestone for proving zinc battery economics can scale, representing the 7th consecutive quarter of improvement and validating the 15-year technology investment [1]</w:t>
      </w:r>
    </w:p>
    <w:p>
      <w:pPr>
        <w:spacing w:before="40" w:after="40"/>
        <w:ind w:left="283"/>
      </w:pPr>
      <w:r>
        <w:rPr>
          <w:rFonts w:ascii="Calibri" w:hAnsi="Calibri"/>
          <w:b/>
          <w:color w:val="4A6B25"/>
          <w:sz w:val="20"/>
        </w:rPr>
        <w:t xml:space="preserve">2. </w:t>
      </w:r>
      <w:r>
        <w:rPr>
          <w:rFonts w:ascii="Calibri" w:hAnsi="Calibri"/>
          <w:b w:val="0"/>
          <w:color w:val="3A4A28"/>
          <w:sz w:val="20"/>
        </w:rPr>
        <w:t>Record $807M backlog converting to $300-350M FY2026 revenue, with H2 expected to exceed H1 as manufacturing consolidation at Thorn Hill improves throughput and unit economics [1]</w:t>
      </w:r>
    </w:p>
    <w:p>
      <w:pPr>
        <w:spacing w:before="40" w:after="40"/>
        <w:ind w:left="283"/>
      </w:pPr>
      <w:r>
        <w:rPr>
          <w:rFonts w:ascii="Calibri" w:hAnsi="Calibri"/>
          <w:b/>
          <w:color w:val="4A6B25"/>
          <w:sz w:val="20"/>
        </w:rPr>
        <w:t xml:space="preserve">3. </w:t>
      </w:r>
      <w:r>
        <w:rPr>
          <w:rFonts w:ascii="Calibri" w:hAnsi="Calibri"/>
          <w:b w:val="0"/>
          <w:color w:val="3A4A28"/>
          <w:sz w:val="20"/>
        </w:rPr>
        <w:t>AI data center demand accelerating grid storage need — CEO Mastrangelo explicitly frames AI as an 'accelerant,' and the Frontier Power USA JV with Cerberus ($263M, $1B+ deployable capital) enables project-level deployments that capture both manufacturing margin and project economics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Persistent negative gross margins — if unit economics do not turn positive by Q4 2026 as guided, the company's credibility and ability to raise capital may be irrecoverably impaired, and the deeply negative stockholders' equity (-$2.24B) leaves no balance sheet cushion [1][6]</w:t>
      </w:r>
    </w:p>
    <w:p>
      <w:pPr>
        <w:spacing w:before="40" w:after="40"/>
        <w:ind w:left="283"/>
      </w:pPr>
      <w:r>
        <w:rPr>
          <w:rFonts w:ascii="Calibri" w:hAnsi="Calibri"/>
          <w:b/>
          <w:color w:val="4A6B25"/>
          <w:sz w:val="20"/>
        </w:rPr>
        <w:t xml:space="preserve">2. </w:t>
      </w:r>
      <w:r>
        <w:rPr>
          <w:rFonts w:ascii="Calibri" w:hAnsi="Calibri"/>
          <w:b w:val="0"/>
          <w:color w:val="3A4A28"/>
          <w:sz w:val="20"/>
        </w:rPr>
        <w:t>Workforce instability with ~45% headcount reduction to 430 employees and prior Glassdoor ratings of 2.5/5 create organizational fragility during the most critical manufacturing scale-up phase in the company's history [4]</w:t>
      </w:r>
    </w:p>
    <w:p>
      <w:pPr>
        <w:spacing w:before="40" w:after="40"/>
        <w:ind w:left="283"/>
      </w:pPr>
      <w:r>
        <w:rPr>
          <w:rFonts w:ascii="Calibri" w:hAnsi="Calibri"/>
          <w:b/>
          <w:color w:val="4A6B25"/>
          <w:sz w:val="20"/>
        </w:rPr>
        <w:t xml:space="preserve">3. </w:t>
      </w:r>
      <w:r>
        <w:rPr>
          <w:rFonts w:ascii="Calibri" w:hAnsi="Calibri"/>
          <w:b w:val="0"/>
          <w:color w:val="3A4A28"/>
          <w:sz w:val="20"/>
        </w:rPr>
        <w:t>Lithium-ion price compression threatening Eos's long-duration storage niche as Tesla, Fluence, and CATL offer competitive 4+ hour solutions with proven manufacturing scale and profitability — zinc must deliver on cost and performance to maintain differentiation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 IMMUNE): Eos manufactures physical battery energy storage systems — hardware products that AI cannot digitally replicate or substitute. The zinc battery manufacturing process involves physical chemistry and industrial production that AI structurally cannot displace. Moreover, AI is a direct demand driver: AI data centers require massive power infrastructure and long-duration energy storage to maintain grid stability as compute demand strains the electrical grid [2]. CEO Mastrangelo explicitly calls AI data centers an 'accelerant' for Eos's business, and the addition of AI infrastructure expert Haiyan Song to the board underscores this strategic alignment [3]. AI Opportunity (1/1): AI data center electricity demand is a direct structural tailwind — every new AI data center increases the need for grid-scale energy storage, and Eos's zinc batteries provide the 3-12 hour discharge duration critical for grid reliability as AI workloads create unprecedented power demand. The DawnOS AI analytics platform generates measurable AI-related service value across deployments [2][3].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69</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Eos Energy Enterprises Q2 2026 Earnings Report — Record Revenue $68.8M (+351% YoY), H1 Revenue $125.7M, Record Backlog $807M (+25% QoQ), Guidance Tightened to $300-350M, 7th Consecutive Quarter GM Improvement — Eos Investor Relations, Seeking Alpha, August 2026</w:t>
      </w:r>
    </w:p>
    <w:p>
      <w:pPr>
        <w:spacing w:before="20" w:after="20"/>
        <w:ind w:left="170"/>
      </w:pPr>
      <w:r>
        <w:rPr>
          <w:rFonts w:ascii="Calibri" w:hAnsi="Calibri"/>
          <w:b/>
          <w:color w:val="4A6B25"/>
          <w:sz w:val="15"/>
        </w:rPr>
        <w:t xml:space="preserve">2. </w:t>
      </w:r>
      <w:r>
        <w:rPr>
          <w:rFonts w:ascii="Calibri" w:hAnsi="Calibri"/>
          <w:b w:val="0"/>
          <w:color w:val="3A4A28"/>
          <w:sz w:val="17"/>
        </w:rPr>
        <w:t>Eos Energy CEO Joe Mastrangelo — AI Data Centers as 'Accelerant,' Pittsburgh Manufacturing Culture, American Energy Independence Vision — CBS BrandStudio, Washington Examiner, Moomoo, 2026</w:t>
      </w:r>
    </w:p>
    <w:p>
      <w:pPr>
        <w:spacing w:before="20" w:after="20"/>
        <w:ind w:left="170"/>
      </w:pPr>
      <w:r>
        <w:rPr>
          <w:rFonts w:ascii="Calibri" w:hAnsi="Calibri"/>
          <w:b/>
          <w:color w:val="4A6B25"/>
          <w:sz w:val="15"/>
        </w:rPr>
        <w:t xml:space="preserve">3. </w:t>
      </w:r>
      <w:r>
        <w:rPr>
          <w:rFonts w:ascii="Calibri" w:hAnsi="Calibri"/>
          <w:b w:val="0"/>
          <w:color w:val="3A4A28"/>
          <w:sz w:val="17"/>
        </w:rPr>
        <w:t>Eos Energy Board and Leadership — Haiyan Song (Former NetApp AI/Cloud Executive) Appointed to Board, Marie Batz Martin CLO, Joseph Nigro Non-Executive Chair — Eos Corporate, Global Legal Post, 2026</w:t>
      </w:r>
    </w:p>
    <w:p>
      <w:pPr>
        <w:spacing w:before="20" w:after="20"/>
        <w:ind w:left="170"/>
      </w:pPr>
      <w:r>
        <w:rPr>
          <w:rFonts w:ascii="Calibri" w:hAnsi="Calibri"/>
          <w:b/>
          <w:color w:val="4A6B25"/>
          <w:sz w:val="15"/>
        </w:rPr>
        <w:t xml:space="preserve">4. </w:t>
      </w:r>
      <w:r>
        <w:rPr>
          <w:rFonts w:ascii="Calibri" w:hAnsi="Calibri"/>
          <w:b w:val="0"/>
          <w:color w:val="3A4A28"/>
          <w:sz w:val="17"/>
        </w:rPr>
        <w:t>Eos Energy ESG and Technology — 84% Lower GHG, 71% Lower Water vs Lithium-Ion, Glassdoor 2.5/5, ~430 Employees After 45% Reduction, American Manufacturing — Eos Corporate Website, accessed October 2026</w:t>
      </w:r>
    </w:p>
    <w:p>
      <w:pPr>
        <w:spacing w:before="20" w:after="20"/>
        <w:ind w:left="170"/>
      </w:pPr>
      <w:r>
        <w:rPr>
          <w:rFonts w:ascii="Calibri" w:hAnsi="Calibri"/>
          <w:b/>
          <w:color w:val="4A6B25"/>
          <w:sz w:val="15"/>
        </w:rPr>
        <w:t xml:space="preserve">5. </w:t>
      </w:r>
      <w:r>
        <w:rPr>
          <w:rFonts w:ascii="Calibri" w:hAnsi="Calibri"/>
          <w:b w:val="0"/>
          <w:color w:val="3A4A28"/>
          <w:sz w:val="17"/>
        </w:rPr>
        <w:t>Eos Energy Insider Transactions — CEO Mastrangelo Bought $502K/Sold $574K, 4 Buys vs 9 Sales in 6 Months — Yahoo Finance, 2026</w:t>
      </w:r>
    </w:p>
    <w:p>
      <w:pPr>
        <w:spacing w:before="20" w:after="20"/>
        <w:ind w:left="170"/>
      </w:pPr>
      <w:r>
        <w:rPr>
          <w:rFonts w:ascii="Calibri" w:hAnsi="Calibri"/>
          <w:b/>
          <w:color w:val="4A6B25"/>
          <w:sz w:val="15"/>
        </w:rPr>
        <w:t xml:space="preserve">6. </w:t>
      </w:r>
      <w:r>
        <w:rPr>
          <w:rFonts w:ascii="Calibri" w:hAnsi="Calibri"/>
          <w:b w:val="0"/>
          <w:color w:val="3A4A28"/>
          <w:sz w:val="17"/>
        </w:rPr>
        <w:t>Yahoo Finance — EOSE Key Statistics: Stock Price $3.21, Market Cap $1.17B, Negative Equity -$2.24B, Total Debt $834M, Forward P/E -18.5, Profit Margin -247%, Avg Volume 27.3M,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