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EPAM</w:t>
      </w:r>
      <w:r>
        <w:rPr>
          <w:rFonts w:ascii="Calibri" w:hAnsi="Calibri"/>
          <w:b/>
          <w:color w:val="1A2010"/>
          <w:sz w:val="40"/>
        </w:rPr>
        <w:t xml:space="preserve">  EPAM Systems, Inc.</w:t>
      </w:r>
    </w:p>
    <w:p>
      <w:pPr>
        <w:spacing w:after="120"/>
      </w:pPr>
      <w:r>
        <w:rPr>
          <w:rFonts w:ascii="Calibri" w:hAnsi="Calibri"/>
          <w:b/>
          <w:color w:val="6E8450"/>
          <w:sz w:val="18"/>
        </w:rPr>
        <w:t>GROWTH SLEEVE · 2026-09-26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EPAM Systems provides digital platform engineering and software development services worldwide, spanning cloud, data/AI, customer experience, and cybersecurity consulting, including a collaboration with Wiz on AI-powered cloud risk remediation. The company fully exited Russia and Belarus following the 2022 invasion of Ukraine, relocating roughly 9,000 employees at significant cost. New CEO Balazs Fejes (effective September 2025) is repositioning EPAM as an 'AI-Native' enterprise engineering partner after 2025 revenue reaccelerated to $5.46 billion (+15.4% YoY), though 2026 guidance points to a sharp deceleration to 4.0-6.5% growth.</w:t>
      </w:r>
    </w:p>
    <w:p>
      <w:r>
        <w:rPr>
          <w:rFonts w:ascii="Calibri" w:hAnsi="Calibri"/>
          <w:b/>
          <w:color w:val="6E8450"/>
          <w:sz w:val="18"/>
        </w:rPr>
        <w:t>62,850 Employees · https://www.epam.com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EPAM recovered from 2022-2024 stagnation caused by its Russia exit (revenue roughly flat at $4.7-4.8B) to record 2025 revenue of $5.46B (+15.4% YoY), and is now repositioning around an 'AI-Native enterprise' strategy under new CEO Balazs Fejes, including a partnership with Wiz for AI-powered cloud remediation — a meaningful recovery and strategic repositioning rather than a full platform transformation [1][2][3]. AI Deployment (2/2): EPAM markets itself as a 'global leader in AI transformation engineering' and is actively shipping AI-native consulting and engineering services to enterprise clients [2][3]. Market Share (1/2): EPAM is a meaningful digital engineering player but competes in a commoditizing IT-services market against Accenture, Globant, and offshore providers without a clearly dominant or fastest-growing share position. Product Pipeline (1/2): The AI-Native enterprise strategy is a clearly stated direction from the new CEO, but no specific named next-generation products with launch dates were disclosed [3]. R&amp;D Intensity (0/1): No R&amp;D-as-percent-of-revenue figure relative to IT-services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EPAM's stated purpose centers on engineering digital transformation for enterprise clients — clear about what the company does and for whom, but framed largely in standard IT-services language rather than a distinctive, deeply differentiated cause. Community Impact (0/2): No specific charitable program or dollar-denominated community investment was identified. Employee Retention (0/2): Per IOWN methodology, Glassdoor ratings cannot be used as Inspiration evidence, and no independent tenure or voluntary-turnover data was found. Insider Buying (0/2): No net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growth-sleeve weights (PEG, ROE, and 5yr revenue CAGR at 2x weight). D/E of 4.3% and Forward P/E of 7.70 both score at the 1.0 cap, reflecting a nearly debt-free balance sheet and a depressed multiple following 2022-2024 stagnation [6]. Forward PEG of 0.57 is well below the 1.0 target (score capped at 1.0, 2x weight), signaling the market has not yet re-rated the stock for the 2025 growth reacceleration. ROE of 11.18% (score 0.75, 2x weight) and profit margin of 7.15% (score 0.36) trail the 15%/20% targets, reflecting margin pressure from the Russia exit and wage inflation. Revenue growth of 4.5% YoY (score 0.82) and an estimated 4.2% 3-year revenue CAGR (2022-2025, score 0.61, 2x weight) are modest, consistent with 2026 guidance of only 4.0-6.5% growth [1]. Liquidity comfortably clears the floor: ~1.46M avg daily volume x $108.23 = ~$157.8M.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EPAM's defining infinite-game test was its 2022 exit from Russia and Belarus — a founding operational base representing roughly 9,000 employees — which the company ultimately completed at real financial cost despite initial hesitancy and public employee criticism of CEO Arkadiy Dobkin. Combined with strong external leadership recognition (#7 on Glassdoor's 2025 Best-Led Companies list) but a shallow, standard-issue purpose statement and no clear evidence of a distinctive Just Cause, EPAM lands in MIXED territory.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EPAM's public purpose reads as standard digital-engineering marketing language, interchangeable with peer IT-services firms, and no evidence was found that leadership traces major strategic decisions back to an articulated cause beyond client and shareholder value.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EPAM holds a 4.1/5 rating across more than 14,000 Glassdoor reviews, 88% of reviewers say they would recommend the company, and it ranked 7th on Glassdoor's 2025 Best-Led Companies list under new CEO Balazs Fejes, who has emphasized transparency and outcome-based (rather than micromanaged) leadership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EPAM framing competition as a source of self-improvement or explicitly acknowledging rivals' strengths; available commentary focuses on internal AI-Native strategy rather than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EPAM fully exited Russia in 2022 — its founding market, representing roughly 9,000 employees and a meaningful share of historical revenue — relocating staff and selling nearly all Russian assets rather than continuing to serve a market that conflicted with its stated alignment with Ukraine, a genuine and costly business-model reinvention [5].</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EPAM ultimately discontinued all services to Russian clients and absorbed $16.9M in layoff costs and $37.5M in employee relocation costs in 2022 alone, a real financial sacrifice in service of its stated position on Ukraine — though the company's initial February 28, 2022 statement was criticized internally and publicly as too neutral, and CEO Arkadiy Dobkin had to publicly defend the pace of the response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EPAM's 2025 results show a real recovery from its post-Russia stagnation, with revenue reaccelerating to $5.46B (+15.4% YoY) and a nearly debt-free balance sheet (D/E of 4.3%) funding a $223.5M share buyback [1]. A Forward PEG of 0.57 and Forward P/E of just 7.70 suggest the market is still pricing EPAM for the 2022-2024 growth trough rather than crediting the recovery, leaving room for multiple expansion if the AI-Native repositioning under new CEO Balazs Fejes gains traction with enterprise clients [2][3][6]. The 2022 Russia/Belarus exit, while costly and initially criticized, demonstrated that leadership will absorb real financial pain to act on stated values — a data point in favor of organizational resilience.</w:t>
      </w:r>
    </w:p>
    <w:p>
      <w:pPr>
        <w:spacing w:after="120"/>
      </w:pPr>
      <w:r>
        <w:rPr>
          <w:rFonts w:ascii="Calibri" w:hAnsi="Calibri"/>
          <w:b w:val="0"/>
          <w:color w:val="3A4A28"/>
          <w:sz w:val="20"/>
        </w:rPr>
        <w:t>The bear case is that EPAM's core staff-augmentation and custom-development model is structurally exposed to AI-driven disruption: 2026 guidance of only 4.0-6.5% revenue growth (with organic constant-currency growth as low as 2.5%) represents a sharp deceleration from 15.4% in 2025, and no specific AI-revenue figure has been disclosed to confirm the AI-Native pivot is offsetting commoditization of lower-value coding and testing work [1][2]. Profit margin of 7.15% and ROE of 11.18% remain well below IOWN targets, and Inspiration evidence is thin — no charitable program, retention, or insider-buying data was found beyond the qualitative Glassdoor-driven Trusting Teams score. A reacceleration in 2026 organic growth, or a disclosed AI-revenue metric, would be the clearest signal the pivot is working; absent that, EPAM remains a WATCH.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PEG of 0.57 and Forward P/E of 7.70 leave substantial room for re-rating if 2026 organic growth comes in at the high end of the 2.5-5.0% guided range or better [1][6]</w:t>
      </w:r>
    </w:p>
    <w:p>
      <w:pPr>
        <w:spacing w:before="40" w:after="40"/>
        <w:ind w:left="283"/>
      </w:pPr>
      <w:r>
        <w:rPr>
          <w:rFonts w:ascii="Calibri" w:hAnsi="Calibri"/>
          <w:b/>
          <w:color w:val="4A6B25"/>
          <w:sz w:val="20"/>
        </w:rPr>
        <w:t xml:space="preserve">2. </w:t>
      </w:r>
      <w:r>
        <w:rPr>
          <w:rFonts w:ascii="Calibri" w:hAnsi="Calibri"/>
          <w:b w:val="0"/>
          <w:color w:val="3A4A28"/>
          <w:sz w:val="20"/>
        </w:rPr>
        <w:t>New CEO Balazs Fejes' 'AI-Native enterprise' strategy, if it produces disclosed AI-related revenue growth, would resolve the current AI Opportunity data gap and could lift the AI Resilience score [2][3]</w:t>
      </w:r>
    </w:p>
    <w:p>
      <w:pPr>
        <w:spacing w:before="40" w:after="40"/>
        <w:ind w:left="283"/>
      </w:pPr>
      <w:r>
        <w:rPr>
          <w:rFonts w:ascii="Calibri" w:hAnsi="Calibri"/>
          <w:b/>
          <w:color w:val="4A6B25"/>
          <w:sz w:val="20"/>
        </w:rPr>
        <w:t xml:space="preserve">3. </w:t>
      </w:r>
      <w:r>
        <w:rPr>
          <w:rFonts w:ascii="Calibri" w:hAnsi="Calibri"/>
          <w:b w:val="0"/>
          <w:color w:val="3A4A28"/>
          <w:sz w:val="20"/>
        </w:rPr>
        <w:t>$223.5M share buyback authorization signals management conviction in the recovery and provides EPS support even at modest revenue growth rates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guidance of just 4.0-6.5% revenue growth (down from 15.4% in 2025) suggests AI-driven commoditization of custom software development and staff augmentation is already compressing EPAM's core economics [1][2]</w:t>
      </w:r>
    </w:p>
    <w:p>
      <w:pPr>
        <w:spacing w:before="40" w:after="40"/>
        <w:ind w:left="283"/>
      </w:pPr>
      <w:r>
        <w:rPr>
          <w:rFonts w:ascii="Calibri" w:hAnsi="Calibri"/>
          <w:b/>
          <w:color w:val="4A6B25"/>
          <w:sz w:val="20"/>
        </w:rPr>
        <w:t xml:space="preserve">2. </w:t>
      </w:r>
      <w:r>
        <w:rPr>
          <w:rFonts w:ascii="Calibri" w:hAnsi="Calibri"/>
          <w:b w:val="0"/>
          <w:color w:val="3A4A28"/>
          <w:sz w:val="20"/>
        </w:rPr>
        <w:t>No specific AI-related revenue figure has been disclosed, making it difficult to verify whether the AI-Native pivot is generating incremental revenue fast enough to offset legacy business pressure [2]</w:t>
      </w:r>
    </w:p>
    <w:p>
      <w:pPr>
        <w:spacing w:before="40" w:after="40"/>
        <w:ind w:left="283"/>
      </w:pPr>
      <w:r>
        <w:rPr>
          <w:rFonts w:ascii="Calibri" w:hAnsi="Calibri"/>
          <w:b/>
          <w:color w:val="4A6B25"/>
          <w:sz w:val="20"/>
        </w:rPr>
        <w:t xml:space="preserve">3. </w:t>
      </w:r>
      <w:r>
        <w:rPr>
          <w:rFonts w:ascii="Calibri" w:hAnsi="Calibri"/>
          <w:b w:val="0"/>
          <w:color w:val="3A4A28"/>
          <w:sz w:val="20"/>
        </w:rPr>
        <w:t>Profit margin of 7.15% and ROE of 11.18% remain well below IOWN Infrastructure targets, leaving limited margin cushion if pricing pressure from AI-native competitors intensifies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EPAM's traditional staff-augmentation and custom-development business model faces real substitution risk from AI coding assistants and AI-native delivery tools that compress the labor-arbitrage economics underlying IT services; 2026 guidance of just 4.0-6.5% growth (down from 15.4% in 2025) reflects both macro softness and this competitive pressure [1][2]. EPAM is actively adapting by repositioning as an 'AI-Native enterprise' partner and building AI transformation offerings (including the Wiz cloud-security collaboration), but the outcome of this pivot — and whether it offsets commoditization of lower-value coding and testing work — remains uncertain [2][3]. AI Opportunity (0/1): No specific AI-related revenue figure or percentage was disclosed in available reporting, so no tiebreaker point is awarded despite the qualitative AI-Native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EPAM Reports Full Year 2025 Results — Revenue $5.46B (+15.4% YoY), 2026 Guidance 4.0-6.5% Growth — SEC Form 8-K, TradingView, GuruFocus, February 2026</w:t>
      </w:r>
    </w:p>
    <w:p>
      <w:pPr>
        <w:spacing w:before="20" w:after="20"/>
        <w:ind w:left="170"/>
      </w:pPr>
      <w:r>
        <w:rPr>
          <w:rFonts w:ascii="Calibri" w:hAnsi="Calibri"/>
          <w:b/>
          <w:color w:val="4A6B25"/>
          <w:sz w:val="15"/>
        </w:rPr>
        <w:t xml:space="preserve">2. </w:t>
      </w:r>
      <w:r>
        <w:rPr>
          <w:rFonts w:ascii="Calibri" w:hAnsi="Calibri"/>
          <w:b w:val="0"/>
          <w:color w:val="3A4A28"/>
          <w:sz w:val="17"/>
        </w:rPr>
        <w:t>EPAM 2026 Guidance, AI-Native Strategy, and $223.5M Buyback — Simply Wall St, investors.epam.com, 2026</w:t>
      </w:r>
    </w:p>
    <w:p>
      <w:pPr>
        <w:spacing w:before="20" w:after="20"/>
        <w:ind w:left="170"/>
      </w:pPr>
      <w:r>
        <w:rPr>
          <w:rFonts w:ascii="Calibri" w:hAnsi="Calibri"/>
          <w:b/>
          <w:color w:val="4A6B25"/>
          <w:sz w:val="15"/>
        </w:rPr>
        <w:t xml:space="preserve">3. </w:t>
      </w:r>
      <w:r>
        <w:rPr>
          <w:rFonts w:ascii="Calibri" w:hAnsi="Calibri"/>
          <w:b w:val="0"/>
          <w:color w:val="3A4A28"/>
          <w:sz w:val="17"/>
        </w:rPr>
        <w:t>EPAM Announces New CEO Balazs Fejes — AI-Native Enterprise Leadership Transition — epam.com Newsroom, 2025</w:t>
      </w:r>
    </w:p>
    <w:p>
      <w:pPr>
        <w:spacing w:before="20" w:after="20"/>
        <w:ind w:left="170"/>
      </w:pPr>
      <w:r>
        <w:rPr>
          <w:rFonts w:ascii="Calibri" w:hAnsi="Calibri"/>
          <w:b/>
          <w:color w:val="4A6B25"/>
          <w:sz w:val="15"/>
        </w:rPr>
        <w:t xml:space="preserve">4. </w:t>
      </w:r>
      <w:r>
        <w:rPr>
          <w:rFonts w:ascii="Calibri" w:hAnsi="Calibri"/>
          <w:b w:val="0"/>
          <w:color w:val="3A4A28"/>
          <w:sz w:val="17"/>
        </w:rPr>
        <w:t>EPAM Ranks 7th on Glassdoor's 2025 Best-Led Companies List (4.1/5, 14,000+ reviews, 88% recommend) — epam.com Newsroom, Glassdoor, 2025</w:t>
      </w:r>
    </w:p>
    <w:p>
      <w:pPr>
        <w:spacing w:before="20" w:after="20"/>
        <w:ind w:left="170"/>
      </w:pPr>
      <w:r>
        <w:rPr>
          <w:rFonts w:ascii="Calibri" w:hAnsi="Calibri"/>
          <w:b/>
          <w:color w:val="4A6B25"/>
          <w:sz w:val="15"/>
        </w:rPr>
        <w:t xml:space="preserve">5. </w:t>
      </w:r>
      <w:r>
        <w:rPr>
          <w:rFonts w:ascii="Calibri" w:hAnsi="Calibri"/>
          <w:b w:val="0"/>
          <w:color w:val="3A4A28"/>
          <w:sz w:val="17"/>
        </w:rPr>
        <w:t>EPAM Russia and Belarus Exit — Employee Relocation, Asset Sale, Internal Criticism of CEO Arkadiy Dobkin — Forbes, Bloomberg, Interfax, bne IntelliNews, 2022</w:t>
      </w:r>
    </w:p>
    <w:p>
      <w:pPr>
        <w:spacing w:before="20" w:after="20"/>
        <w:ind w:left="170"/>
      </w:pPr>
      <w:r>
        <w:rPr>
          <w:rFonts w:ascii="Calibri" w:hAnsi="Calibri"/>
          <w:b/>
          <w:color w:val="4A6B25"/>
          <w:sz w:val="15"/>
        </w:rPr>
        <w:t xml:space="preserve">6. </w:t>
      </w:r>
      <w:r>
        <w:rPr>
          <w:rFonts w:ascii="Calibri" w:hAnsi="Calibri"/>
          <w:b w:val="0"/>
          <w:color w:val="3A4A28"/>
          <w:sz w:val="17"/>
        </w:rPr>
        <w:t>Yahoo Finance / yfinance — EPAM Key Statistics: D/E 4.3%, ROE 11.18%, Forward P/E 7.70, PEG 0.57, Profit Margin 7.15%,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