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EPD</w:t>
      </w:r>
      <w:r>
        <w:rPr>
          <w:rFonts w:ascii="Calibri" w:hAnsi="Calibri"/>
          <w:b/>
          <w:color w:val="1A2010"/>
          <w:sz w:val="40"/>
        </w:rPr>
        <w:t xml:space="preserve">  Enterprise Products Partners L.P.</w:t>
      </w:r>
    </w:p>
    <w:p>
      <w:pPr>
        <w:spacing w:after="120"/>
      </w:pPr>
      <w:r>
        <w:rPr>
          <w:rFonts w:ascii="Calibri" w:hAnsi="Calibri"/>
          <w:b/>
          <w:color w:val="6E8450"/>
          <w:sz w:val="18"/>
        </w:rPr>
        <w:t>DIVIDEND SLEEVE · 2026-10-21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Enterprise Products Partners L.P. is one of the largest publicly traded partnerships and a leading North American provider of midstream energy services. The company operates approximately 50,000 miles of pipelines, 260 million barrels of NGL/crude/refined products storage, and 14 billion cubic feet of natural gas storage across four segments: NGL Pipelines &amp; Services, Crude Oil Pipelines &amp; Services, Natural Gas Pipelines &amp; Services, and Petrochemical &amp; Refined Products Services. Q2 2026 delivered record net income of $1.8B ($0.84/unit, +28% YoY), record adjusted EBITDA of $2.8B (+17%), and record operational DCF of $2.3B (+21%), with distribution coverage of 1.9x [1].</w:t>
      </w:r>
    </w:p>
    <w:p>
      <w:r>
        <w:rPr>
          <w:rFonts w:ascii="Calibri" w:hAnsi="Calibri"/>
          <w:b/>
          <w:color w:val="6E8450"/>
          <w:sz w:val="18"/>
        </w:rPr>
        <w:t>https://www.enterpriseproducts.com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Enterprise expanded from traditional NGL pipelines to build the industry's leading ethane/propane export terminal (second flex train reaching full capacity in H1 2026), propane dehydrogenation facilities, and co-led the creation of transparent pricing markets for petrochemicals at Mont Belvieu — opening new revenue streams in global energy exports and petrochemical derivatives [1][4]. These represent significant business evolution over the last decade. AI Deployment (0/2): No evidence of AI-powered tools, AI-driven operational efficiencies, or any AI deployment in Enterprise's midstream operations — the company has not discussed AI initiatives in earnings calls or investor materials [3]. Market Share (2/2): EPD is the largest midstream MLP in North America with dominant positions in NGL fractionation capacity, NGL exports, and an integrated hydrocarbon value chain spanning 50,000+ miles of pipelines [1]. Q2 2026 record volumes across NGL, crude, and natural gas segments confirm continued market leadership. Product Pipeline (1/2): Capital spending guidance was raised for 2026, with approximately $6.9B in growth projects under construction including export terminal expansions and pipeline capacity additions, with co-CEO Fowler guiding to approximately 10% EBITDA growth in 2027 as projects come online [1][2]. R&amp;D Intensity (0/1): Midstream companies do not invest in traditional R&amp;D; innovation comes through capital project execution rather than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Enterprise Products' stated commitment to delivering energy products safely and reliably through a partnership structure that aligns management with unitholders describes operational excellence without articulating a deeper societal vision — the values of 'hard work, integrity, and perseverance' from founder Dan Duncan are admirable but generic [3]. Community Impact (1/2): EPD publishes sustainability reports through the EIC ESG framework covering emissions reduction, safety metrics, and community engagement across its pipeline network [5]. Sustainalytics rates ESG risk management as 'Average' with medium exposure, and the company has invested in operational safety improvements, but no specific charitable dollar amounts or distinctive community programs were identified. Employee Retention (1/2): Co-CEO Jim Teague's 28-year tenure drove growth from ~$2B to ~$120B in enterprise value, with a 96% Glassdoor CEO approval rating [4]. The promotion-from-within culture (co-CEO Fowler joined in 1999, CFO Boss is a long-tenured internal promotion) and planned succession to Fowler in January 2027 demonstrate leadership continuity [3]. Insider Buying (1/2): Insiders hold 33.0% of units — the Duncan family's continued deep ownership creates structural alignment rare in public markets. However, no evidence of recent net insider buying beyond existing positions was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with strong scores across most metrics. D/E of 110.0% scores 0.83, elevated but within MLP norms given $34.2B total debt [1]. ROE of 20.9% exceeds the 15% target (score 1.0). Revenue growth YoY of 60.8% (Q2 2026 vs Q2 2025, driven by commodity prices and marketing volumes) scores 1.0, though underlying fee-based growth is lower [1][2]. Estimated 5-year revenue CAGR of approximately 14% (2020 COVID base to 2025) scores 1.0. Forward P/E of 11.68x scores 1.0, deeply attractive [1]. Profit margin of 10.8% scores 0.54, modest due to revenue pass-through nature of midstream. Distribution metrics: payout ratio 76.0% scores 0.40 (1x weight), 28 consecutive years paid scores 1.0 (2x weight), 27 consecutive years of growth scores 1.0 (1x weight), 5-year distribution growth CAGR of 4.0% scores 0.67 (2x weight) [1][4]. Weighted sum: 10.07/12 x 10 = 8.4, rounded to 8. Liquidity: $117.8M daily dollar volume ($36.98 x 3.18M)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Enterprise Products Partners exhibits strong infinite game characteristics — the partnership structure with 33% insider ownership, 27 consecutive years of distribution increases maintained through COVID and multiple energy downturns, and an orderly leadership succession plan all point to an organization built for multi-generational endurance. The $6.9B growth project backlog and conservative balance sheet management demonstrate long-term capital allocation discipline. However, the incremental nature of EPD's evolution (expanding capacity rather than reinventing the business) and the partnership's fundamentally commodity-dependent model limit the score to the upper end of MIXED [1][3].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EPD's purpose of reliably delivering energy products through a partnership that aligns management with unitholders has been consistently executed for 28 years since the 1998 IPO [1][3]. The founding Duncan family's continued 33% ownership creates a structural alignment rare in corporate America, and the company's values of hard work, integrity, and perseverance have been validated through multiple energy cycles, COVID, and leadership transitions. However, this is ultimately about reliable energy delivery and value creation rather than a transformative vision of a better future that transcends the business itself.</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The co-CEO structure with Jim Teague (28 years, retiring January 2027) and Randy Fowler (since 1999) provides extraordinary leadership continuity rare in any sector [3][4]. Teague's 96% Glassdoor CEO approval and promotion-from-within culture — Fowler joined in 1999 and rose through president, CFO, and co-CEO to the sole CEO role — demonstrate deep organizational trust. The partnership's low-drama culture and Duncan family stewardship create multi-generational stability that employees and investors can count on [3][4].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EPD operates alongside Energy Transfer, MPLX, and Williams Companies, and management consistently positions EPD as differentiated through its integrated value chain and conservative financial management [1]. However, no specific evidence of management framing competitive dynamics as learning opportunities or acknowledging rivals' strengths was found — the company's communications focus on its own operational metrics rather than competitive introspection.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EPD has evolved from a small NGL pipeline company to the largest, most diversified midstream MLP in North America — expanding into crude oil transportation, petrochemical services, marine export terminals, and propane dehydrogenation [1]. The creation of transparent petrochemical pricing markets at Mont Belvieu was an industry-shaping innovation. These are meaningful but incremental evolutions over 28 years rather than transformative reinventions of the core business model.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Enterprise maintained and grew its distribution through the 2020 COVID oil price collapse when many MLP peers cut distributions — demonstrating conviction in long-term cash flow durability when short-term pressure to cut was intense [1]. The company consistently prioritized balance sheet strength over aggressive distribution growth (4.0% 5yr CAGR vs peers at 5-8%), choosing financial resilience over near-term yield competition — a patient approach that takes courage when income-focused investors demand more. The $6.9B growth capex commitment during energy transition uncertainty and self-funded growth model (vs issuing equity) represent multiple costly long-term bets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Enterprise Products Partners offers a compelling income investment with a tax-advantaged 6.06% distribution yield, 27 consecutive years of distribution increases, and record Q2 2026 operational DCF of $2.3B (+21% YoY) providing 1.9x distribution coverage [1]. At $36.98 and 11.68x forward earnings, EPD trades at a deep discount to the S&amp;P 500 while offering one of the most defensible cash flow streams in energy — 50,000+ miles of pipelines, dominant NGL fractionation capacity, and leading export terminal capabilities. Record net income of $1.8B ($0.84/unit, +28% YoY) and record EBITDA of $2.8B (+17%) demonstrate accelerating momentum [1]. The $6.9B growth project backlog underpins approximately 10% EBITDA growth guidance for 2027 as the second flex train reaches full capacity. The 33% Duncan family insider ownership, orderly CEO succession (Fowler taking sole leadership January 2027), and AI-driven natural gas demand growth provide structural tailwinds [2][3].</w:t>
      </w:r>
    </w:p>
    <w:p>
      <w:pPr>
        <w:spacing w:after="120"/>
      </w:pPr>
      <w:r>
        <w:rPr>
          <w:rFonts w:ascii="Calibri" w:hAnsi="Calibri"/>
          <w:b w:val="0"/>
          <w:color w:val="3A4A28"/>
          <w:sz w:val="20"/>
        </w:rPr>
        <w:t>The bear case centers on commodity exposure and energy transition risks. While Q2 2026 revenue surged 60.8% to $18.3B, this was driven by volatile commodity marketing activity rather than sustainable fee-based growth — the 5-year revenue CAGR reflects the COVID recovery base rather than organic demand [1][2]. D/E of 110% with $34.2B in total debt is elevated, though typical for midstream MLPs with long-duration asset lives. The 76% payout ratio leaves limited room for distribution growth acceleration beyond the conservative 4.0% 5-year CAGR. Profit margin of 10.8% reflects the revenue pass-through nature of midstream and limits earnings quality. The partnership structure (K-1 tax reporting) constrains the investor base and creates tax complexity. Long-term, the energy transition poses structural demand risk for hydrocarbon midstream infrastructure over multi-decade horizons, though AI-driven electricity demand partially offsets this through increased natural gas consumption. The most recent EPA citation for mishandling a Colorado gasoline spill highlights ongoing environmental liability across the 50,000-mile network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Q2 2026 DCF of $2.3B (+21% YoY) and EBITDA of $2.8B (+17%) demonstrate accelerating momentum, with $6.9B growth projects coming online to drive approximately 10% EBITDA growth in 2027 and support continued distribution increases [1]</w:t>
      </w:r>
    </w:p>
    <w:p>
      <w:pPr>
        <w:spacing w:before="40" w:after="40"/>
        <w:ind w:left="283"/>
      </w:pPr>
      <w:r>
        <w:rPr>
          <w:rFonts w:ascii="Calibri" w:hAnsi="Calibri"/>
          <w:b/>
          <w:color w:val="4A6B25"/>
          <w:sz w:val="20"/>
        </w:rPr>
        <w:t xml:space="preserve">2. </w:t>
      </w:r>
      <w:r>
        <w:rPr>
          <w:rFonts w:ascii="Calibri" w:hAnsi="Calibri"/>
          <w:b w:val="0"/>
          <w:color w:val="3A4A28"/>
          <w:sz w:val="20"/>
        </w:rPr>
        <w:t>AI data center expansion driving incremental natural gas demand — projected to substantially increase U.S. gas consumption by 2030, directly benefiting EPD's pipeline throughput and processing volumes as evidenced by 2026 record NGL and gas volumes [1][2]</w:t>
      </w:r>
    </w:p>
    <w:p>
      <w:pPr>
        <w:spacing w:before="40" w:after="40"/>
        <w:ind w:left="283"/>
      </w:pPr>
      <w:r>
        <w:rPr>
          <w:rFonts w:ascii="Calibri" w:hAnsi="Calibri"/>
          <w:b/>
          <w:color w:val="4A6B25"/>
          <w:sz w:val="20"/>
        </w:rPr>
        <w:t xml:space="preserve">3. </w:t>
      </w:r>
      <w:r>
        <w:rPr>
          <w:rFonts w:ascii="Calibri" w:hAnsi="Calibri"/>
          <w:b w:val="0"/>
          <w:color w:val="3A4A28"/>
          <w:sz w:val="20"/>
        </w:rPr>
        <w:t>Orderly CEO succession from Jim Teague to Randy Fowler in January 2027 preserves 33% Duncan family alignment, with Fowler's 27-year tenure ensuring strategic continuity and expanded Office of the Chairman providing governance depth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surge of 60.8% in Q2 2026 was marketing/trading-driven and not representative of sustainable growth — core fee-based growth is mid-single digits, and commodity price normalization could compress near-term earnings and revenue comparisons [1][2]</w:t>
      </w:r>
    </w:p>
    <w:p>
      <w:pPr>
        <w:spacing w:before="40" w:after="40"/>
        <w:ind w:left="283"/>
      </w:pPr>
      <w:r>
        <w:rPr>
          <w:rFonts w:ascii="Calibri" w:hAnsi="Calibri"/>
          <w:b/>
          <w:color w:val="4A6B25"/>
          <w:sz w:val="20"/>
        </w:rPr>
        <w:t xml:space="preserve">2. </w:t>
      </w:r>
      <w:r>
        <w:rPr>
          <w:rFonts w:ascii="Calibri" w:hAnsi="Calibri"/>
          <w:b w:val="0"/>
          <w:color w:val="3A4A28"/>
          <w:sz w:val="20"/>
        </w:rPr>
        <w:t>Long-term energy transition risk as renewables and electrification reduce structural demand for hydrocarbon processing and transportation, potentially stranding midstream infrastructure assets over multi-decade horizons, with $34.2B in debt amplifying downside [5]</w:t>
      </w:r>
    </w:p>
    <w:p>
      <w:pPr>
        <w:spacing w:before="40" w:after="40"/>
        <w:ind w:left="283"/>
      </w:pPr>
      <w:r>
        <w:rPr>
          <w:rFonts w:ascii="Calibri" w:hAnsi="Calibri"/>
          <w:b/>
          <w:color w:val="4A6B25"/>
          <w:sz w:val="20"/>
        </w:rPr>
        <w:t xml:space="preserve">3. </w:t>
      </w:r>
      <w:r>
        <w:rPr>
          <w:rFonts w:ascii="Calibri" w:hAnsi="Calibri"/>
          <w:b w:val="0"/>
          <w:color w:val="3A4A28"/>
          <w:sz w:val="20"/>
        </w:rPr>
        <w:t>Payout ratio of 76% and conservative 4.0% 5-year distribution growth CAGR constrain income growth appeal versus peers offering higher growth, while the K-1 tax structure limits the investor base to those comfortable with partnership tax reporting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EPD's midstream infrastructure — 50,000+ miles of pipelines, NGL fractionation facilities, storage caverns, and marine export terminals — is physical-world infrastructure that AI structurally cannot displace [1]. Pipeline operations require physical assets, regulatory permits, right-of-way access, and decades of capital investment that no AI tool can replicate or substitute. Critically, AI data center expansion is driving significant incremental electricity and natural gas demand, directly increasing throughput volumes on EPD's pipeline and processing network — making AI a net demand driver for midstream energy services [1][2]. Q2 2026 record DCF of $2.3B (+21% YoY) and record EBITDA of $2.8B reflect the growing physical volumes that AI cannot displace. Analysts identify zero AI substitution risk for midstream infrastructure. AI Opportunity (1/1): EPD benefits from AI-driven demand growth — data centers projected to substantially increase U.S. natural gas consumption by 2030, directly increasing utilization of EPD's gas pipeline and NGL infrastructure, a trend already visible in 2026 record volumes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Enterprise Products Partners Q2 2026 8-K — Record Net Income $1.8B (+28%), Record EBITDA $2.8B (+17%), Record DCF $2.3B (+21%), Revenue $18.3B, Distribution Raised to $0.56/unit, SEC Filing, July 2026</w:t>
      </w:r>
    </w:p>
    <w:p>
      <w:pPr>
        <w:spacing w:before="20" w:after="20"/>
        <w:ind w:left="170"/>
      </w:pPr>
      <w:r>
        <w:rPr>
          <w:rFonts w:ascii="Calibri" w:hAnsi="Calibri"/>
          <w:b/>
          <w:color w:val="4A6B25"/>
          <w:sz w:val="15"/>
        </w:rPr>
        <w:t xml:space="preserve">2. </w:t>
      </w:r>
      <w:r>
        <w:rPr>
          <w:rFonts w:ascii="Calibri" w:hAnsi="Calibri"/>
          <w:b w:val="0"/>
          <w:color w:val="3A4A28"/>
          <w:sz w:val="17"/>
        </w:rPr>
        <w:t>CNHI News/Zacks — EPD Q2 2026 Revenue $18.3B (+60.8% YoY), Earnings Beat Estimates, EBITDA Growth Guidance ~10% for 2027, July 2026</w:t>
      </w:r>
    </w:p>
    <w:p>
      <w:pPr>
        <w:spacing w:before="20" w:after="20"/>
        <w:ind w:left="170"/>
      </w:pPr>
      <w:r>
        <w:rPr>
          <w:rFonts w:ascii="Calibri" w:hAnsi="Calibri"/>
          <w:b/>
          <w:color w:val="4A6B25"/>
          <w:sz w:val="15"/>
        </w:rPr>
        <w:t xml:space="preserve">3. </w:t>
      </w:r>
      <w:r>
        <w:rPr>
          <w:rFonts w:ascii="Calibri" w:hAnsi="Calibri"/>
          <w:b w:val="0"/>
          <w:color w:val="3A4A28"/>
          <w:sz w:val="17"/>
        </w:rPr>
        <w:t>Hoodline/Houston InnovationMap — Jim Teague Retirement January 2027, Randy Fowler Sole CEO Succession, 28-Year Tenure, 96% Glassdoor Approval, Promotion-from-Within Culture, July 2026</w:t>
      </w:r>
    </w:p>
    <w:p>
      <w:pPr>
        <w:spacing w:before="20" w:after="20"/>
        <w:ind w:left="170"/>
      </w:pPr>
      <w:r>
        <w:rPr>
          <w:rFonts w:ascii="Calibri" w:hAnsi="Calibri"/>
          <w:b/>
          <w:color w:val="4A6B25"/>
          <w:sz w:val="15"/>
        </w:rPr>
        <w:t xml:space="preserve">4. </w:t>
      </w:r>
      <w:r>
        <w:rPr>
          <w:rFonts w:ascii="Calibri" w:hAnsi="Calibri"/>
          <w:b w:val="0"/>
          <w:color w:val="3A4A28"/>
          <w:sz w:val="17"/>
        </w:rPr>
        <w:t>SimplyWall St — EPD Leadership Changes and Analyst Perspectives, 33% Insider Ownership, Duncan Family Alignment,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Sustainalytics — Enterprise Products Partners ESG Risk Rating, Medium Exposure, Average Management, 34th of 179 in Pipelines Group,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