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ERO</w:t>
      </w:r>
      <w:r>
        <w:rPr>
          <w:rFonts w:ascii="Calibri" w:hAnsi="Calibri"/>
          <w:b/>
          <w:color w:val="1A2010"/>
          <w:sz w:val="40"/>
        </w:rPr>
        <w:t xml:space="preserve">  Ero Copper Corp.</w:t>
      </w:r>
    </w:p>
    <w:p>
      <w:pPr>
        <w:spacing w:after="120"/>
      </w:pPr>
      <w:r>
        <w:rPr>
          <w:rFonts w:ascii="Calibri" w:hAnsi="Calibri"/>
          <w:b/>
          <w:color w:val="6E8450"/>
          <w:sz w:val="18"/>
        </w:rPr>
        <w:t>GROWTH SLEEVE · 2026-09-14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Copper Mining · NYSE · Canada</w:t>
      </w:r>
    </w:p>
    <w:p>
      <w:pPr>
        <w:spacing w:after="80"/>
      </w:pPr>
      <w:r>
        <w:rPr>
          <w:rFonts w:ascii="Calibri" w:hAnsi="Calibri"/>
          <w:b w:val="0"/>
          <w:color w:val="3A4A28"/>
          <w:sz w:val="20"/>
        </w:rPr>
        <w:t>Ero Copper is a mid-tier copper and gold producer with operations in Brazil. Its primary assets include the Caraiba copper mine complex (Bahia), the Tucuma copper mine (Para, ramped to commercial production in 2025), and the Xavantina gold mine (Mato Grosso). The company completed a CEO transition in January 2025, with Makko DeFilippo succeeding founder David Strang. TTM revenue exceeds $1B following a 95% YoY surge driven by Tucuma ramp and record copper prices. Market cap is approximately $3.2B.</w:t>
      </w:r>
    </w:p>
    <w:p>
      <w:r>
        <w:rPr>
          <w:rFonts w:ascii="Calibri" w:hAnsi="Calibri"/>
          <w:b/>
          <w:color w:val="6E8450"/>
          <w:sz w:val="18"/>
        </w:rPr>
        <w:t>3,690 Employees · https://erocopper.com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Ero Copper has executed two significant operational transformations in the last five years -- the successful ramp of the Tucuma copper mine to commercial production (opening an entirely new revenue stream that drove consolidated copper production up 40% over 12 months) and the conversion of Xavantina from a non-core asset into a high-margin gold operation with Q2 2026 gold production surging 170% sequentially [1][2]. These represent genuine new revenue streams, not incremental extensions. AI Deployment (0/2): No AI-powered products or quantified AI-driven operational efficiencies identified. Mining automation remains at an early stage with no measurable results disclosed. Market Share (0/2): Ero Copper is a mid-tier producer with ~70,000 tonnes annual copper capacity -- meaningful but not a category leader or share gainer in a fragmented global copper market. Product Pipeline (1/2): The Furnas Copper-Gold Project, a strategic partnership with Vale Base Metals, represents a next-generation development asset, and management reaffirmed 2026 copper guidance of 67,500-77,500 tonnes [2]. However, Furnas timelines and revenue visibility remain vague beyond feasibility-stage work. R&amp;D Intensity (0/1): Mining companies operate with minimal formal R&amp;D spend; no evidence of above-industry investment in exploration technology or process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Ero Copper's stated purpose centers on responsible delivery of growth objectives and serving shareholders -- generic language interchangeable with any mid-tier mining company. The company does not articulate a distinctive purpose beyond operational excellence and returns. Community Impact (1/2): Ero Copper is a signatory to the United Nations Global Compact, publishes annual sustainability reports aligned with SASB and GRI standards, and has formally committed to combating modern slavery in its 2024 report [4]. These demonstrate genuine effort but lack specific dollar amounts or distinctive community programs. Employee Retention (0/2): No public data on voluntary turnover, average tenure, or employee sentiment. The workforce of ~3,690 employees is primarily in Brazil. Insider Buying (0/2): No evidence of meaningful net insider buying by executives identified. The CEO transition from Strang to DeFilippo in January 2025 was an orderly succession rather than a conviction signal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nearly all metrics at or above target. D/E of 72% is just above the 70% target but well within range (score 0.99) [3]. ROE of 17.32% exceeds the 15% target. Revenue growth YoY of 94.9% and estimated 5-year CAGR of ~13% both exceed the 10% threshold, driven by the Tucuma ramp and record copper pricing [1][2]. Forward P/E of 8.3x is well below the 20x target, reflecting attractive earnings-based valuation. Profit margin of 29.79% exceeds the 20% target. Forward PEG of 0.12 is exceptionally low against the 1.0 target, reflecting massive earnings growth against a modest price multiple. Net debt leverage declined from 2.6x to 0.8x in 12 months as operating cash flow surged to $138M in Q2 [2]. Liquidity floor easily cleared at ~$15.8M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Ero Copper operates with a pragmatic, growth-oriented mindset typical of mid-tier miners -- focused on execution, capital discipline, and operational delivery rather than a transformative vision. The orderly CEO succession from founder David Strang to COO Makko DeFilippo demonstrates organizational maturity, and the multi-year capital commitment to Tucuma and Furnas shows willingness to invest for the long term. However, the company lacks a distinctive Just Cause beyond profitable growth, and its competitive language centers on operational metrics rather than a deeper purpose. The strategic partnership with Vale on Furnas suggests a cooperative rather than zero-sum competitive orientation.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Ero Copper's purpose revolves around responsible delivery of growth objectives and shareholder value creation -- a clear but shallow cause that is interchangeable with any mid-tier mining company [5]. Leadership references operational excellence and capital discipline but does not articulate a vision of a future state that inspires sacrifice or long-term commitment beyond financial returns. The company's commitment to UN Global Compact principles and sustainability reporting suggests awareness of broader purpose but has not elevated this into a strategic differentiator.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orderly leadership succession -- with Strang moving to Executive Chairman and DeFilippo (a long-tenured insider who led the IPO and key transactions) promoted to CEO -- demonstrates organizational stability and internal trust in leadership pipelines [5]. The company operates a workforce of ~3,690 primarily in Brazil with no evidence of disruptive layoffs or cultural instability. However, no specific data on employee empowerment, voluntary turnover, or organizational trust culture is available to score higher.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Ero Copper's strategic partnership with Vale Base Metals on the Furnas Copper-Gold Project demonstrates a cooperative competitive orientation -- partnering with a much larger rival to develop a shared asset rather than competing for resources [5]. Management's competitive language focuses on operational improvement ('delivering on our growth objectives') rather than defeating specific competitors, consistent with an infinite-game orientation toward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Ero Copper has evolved meaningfully from a single-asset copper producer (Caraiba) into a diversified multi-mine operator with copper (Caraiba + Tucuma) and gold (Xavantina) revenue streams. The Tucuma development was a $350M+ capital commitment that nearly doubled production capacity, and Xavantina's transformation from non-core to core asset represented a strategic pivot [1][2]. These changes were significant but incremental rather than transformative -- the company remains a copper miner, not a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Ero Copper committed to building the Tucuma mine through a period of copper price volatility, with 2026 designated as 'peak investment year' at $285-330M in capital expenditure [2]. The company accepted near-term leverage (net debt reached 2.6x at peak) to fund long-term production growth, and the three-step capital allocation framework (delever, repay revolver, then consider shareholder returns) reflects disciplined long-term thinking over short-term earnings optimization. However, no examples of walking away from profitable but misaligned opportunities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Ero Copper at 8.3x forward earnings is a compelling copper growth story -- TTM revenue exceeds $1B (+95% YoY) as the Tucuma mine ramp drives consolidated copper production up 40%, with Q2 2026 operating cash flow surging 50% QoQ to $138M [1][2]. Net debt leverage has collapsed from 2.6x to 0.8x in 12 months, and management's three-step capital return framework positions 2027 as the inflection for shareholder returns once the $95M remaining revolver is repaid. Forward PEG of 0.12 against consensus EPS growth of ~90% makes ERO one of the cheapest growth stories in the materials sector. The structural copper supply deficit -- amplified by AI data center demand projected at 500,000 tonnes annually by 2030 -- provides a powerful macro tailwind for a low-cost producer with C1 cash costs of $2.42/lb [4].</w:t>
      </w:r>
    </w:p>
    <w:p>
      <w:pPr>
        <w:spacing w:after="120"/>
      </w:pPr>
      <w:r>
        <w:rPr>
          <w:rFonts w:ascii="Calibri" w:hAnsi="Calibri"/>
          <w:b w:val="0"/>
          <w:color w:val="3A4A28"/>
          <w:sz w:val="20"/>
        </w:rPr>
        <w:t>The bear case centers on commodity cyclicality, execution risk, and capital intensity. Copper prices are near all-time highs and any demand slowdown (China construction, global recession) could compress margins rapidly -- the 29.8% profit margin is inflated by peak-cycle pricing, not structural advantage. The back-loaded 2026 production guidance raises concerns about whether management is buying time, and C1 cash costs of $2.42/lb at Caraiba are above the consolidated target range midpoint of $2.25/lb [2]. Capital expenditure of $285-330M in 2026 against ~$550M in operating cash flow leaves limited margin for error, and the Furnas project with Vale remains pre-revenue with uncertain economics. The Inspire Impact Score of 0 (MIXED) reflects a neutral faith alignment with no positive or negative attributions identified. Geographic concentration in Brazil introduces political, currency, and regulatory risk that peers with diversified global asset bases avoid.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Tucuma mine reaching full nameplate capacity in H2 2026 could push consolidated copper production to the high end of 67,500-77,500 tonne guidance, driving an earnings inflection as peak capex rolls off and free cash flow surges [2]</w:t>
      </w:r>
    </w:p>
    <w:p>
      <w:pPr>
        <w:spacing w:before="40" w:after="40"/>
        <w:ind w:left="283"/>
      </w:pPr>
      <w:r>
        <w:rPr>
          <w:rFonts w:ascii="Calibri" w:hAnsi="Calibri"/>
          <w:b/>
          <w:color w:val="4A6B25"/>
          <w:sz w:val="20"/>
        </w:rPr>
        <w:t xml:space="preserve">2. </w:t>
      </w:r>
      <w:r>
        <w:rPr>
          <w:rFonts w:ascii="Calibri" w:hAnsi="Calibri"/>
          <w:b w:val="0"/>
          <w:color w:val="3A4A28"/>
          <w:sz w:val="20"/>
        </w:rPr>
        <w:t>Structural copper supply deficit amplified by AI data center demand (projected 500,000 tonnes annually by 2030) and electrification creates a multi-year pricing tailwind for low-cost producers like Ero [4]</w:t>
      </w:r>
    </w:p>
    <w:p>
      <w:pPr>
        <w:spacing w:before="40" w:after="40"/>
        <w:ind w:left="283"/>
      </w:pPr>
      <w:r>
        <w:rPr>
          <w:rFonts w:ascii="Calibri" w:hAnsi="Calibri"/>
          <w:b/>
          <w:color w:val="4A6B25"/>
          <w:sz w:val="20"/>
        </w:rPr>
        <w:t xml:space="preserve">3. </w:t>
      </w:r>
      <w:r>
        <w:rPr>
          <w:rFonts w:ascii="Calibri" w:hAnsi="Calibri"/>
          <w:b w:val="0"/>
          <w:color w:val="3A4A28"/>
          <w:sz w:val="20"/>
        </w:rPr>
        <w:t>Capital return framework activation in 2027 once revolver is fully repaid -- management has explicitly sequenced deleveraging to revolver repayment to shareholder returns, positioning ERO for a potential dividend initiation or buyback program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Copper price cyclicality -- current near-record pricing inflates margins and revenue growth; a reversion to mid-cycle copper prices ($3.50-4.00/lb) would compress profit margins from ~30% toward 15-20% and reduce free cash flow significantly</w:t>
      </w:r>
    </w:p>
    <w:p>
      <w:pPr>
        <w:spacing w:before="40" w:after="40"/>
        <w:ind w:left="283"/>
      </w:pPr>
      <w:r>
        <w:rPr>
          <w:rFonts w:ascii="Calibri" w:hAnsi="Calibri"/>
          <w:b/>
          <w:color w:val="4A6B25"/>
          <w:sz w:val="20"/>
        </w:rPr>
        <w:t xml:space="preserve">2. </w:t>
      </w:r>
      <w:r>
        <w:rPr>
          <w:rFonts w:ascii="Calibri" w:hAnsi="Calibri"/>
          <w:b w:val="0"/>
          <w:color w:val="3A4A28"/>
          <w:sz w:val="20"/>
        </w:rPr>
        <w:t>Back-loaded 2026 production guidance with Xavantina gold at 'low end of maintained range' raises execution risk -- H2 must deliver disproportionately to hit full-year targets [2]</w:t>
      </w:r>
    </w:p>
    <w:p>
      <w:pPr>
        <w:spacing w:before="40" w:after="40"/>
        <w:ind w:left="283"/>
      </w:pPr>
      <w:r>
        <w:rPr>
          <w:rFonts w:ascii="Calibri" w:hAnsi="Calibri"/>
          <w:b/>
          <w:color w:val="4A6B25"/>
          <w:sz w:val="20"/>
        </w:rPr>
        <w:t xml:space="preserve">3. </w:t>
      </w:r>
      <w:r>
        <w:rPr>
          <w:rFonts w:ascii="Calibri" w:hAnsi="Calibri"/>
          <w:b w:val="0"/>
          <w:color w:val="3A4A28"/>
          <w:sz w:val="20"/>
        </w:rPr>
        <w:t>Geographic concentration in Brazil (all three producing assets) exposes the company to BRL/USD currency moves, Brazilian mining regulations, and political risk without the diversification buffer of global peers like Freeport-McMoRan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Copper mining is a physical-world, capital-intensive operation that AI structurally cannot displace -- ore extraction, smelting, and refining require massive physical infrastructure, geological expertise, and regulatory permits that no software can replicate. More critically, AI is a direct demand driver for copper: S&amp;P Global projects AI data centers alone will consume 500,000 tonnes of copper annually by 2030, with cumulative data center copper demand exceeding 4.3 million tonnes by 2035 [4]. IOM3 reports that AI and defense spending are widening the copper supply shortfall. Ero Copper is a direct beneficiary of AI-driven electrification demand. Analysts cite zero substitution risk for copper producers; the only risk is execution and commodity price cyclicality, not AI disruption. AI Opportunity (0/1): Ero Copper generates no revenue from AI products or services. The company is an indirect beneficiary through copper demand but does not sell AI-related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Ero Copper Q1 2026 Earnings -- Revenue $263.2M (+110% YoY), Adjusted EBITDA $125.2M, EPS $0.69, Net Debt $491M, Leverage 1.0x, May 2026</w:t>
      </w:r>
    </w:p>
    <w:p>
      <w:pPr>
        <w:spacing w:before="20" w:after="20"/>
        <w:ind w:left="170"/>
      </w:pPr>
      <w:r>
        <w:rPr>
          <w:rFonts w:ascii="Calibri" w:hAnsi="Calibri"/>
          <w:b/>
          <w:color w:val="4A6B25"/>
          <w:sz w:val="15"/>
        </w:rPr>
        <w:t xml:space="preserve">2. </w:t>
      </w:r>
      <w:r>
        <w:rPr>
          <w:rFonts w:ascii="Calibri" w:hAnsi="Calibri"/>
          <w:b w:val="0"/>
          <w:color w:val="3A4A28"/>
          <w:sz w:val="17"/>
        </w:rPr>
        <w:t>Ero Copper Q2 2026 Earnings -- Revenue $284.3M, Adjusted EPS $0.83, Operating Cash Flow $138M (+50% QoQ), Net Debt $453M, Leverage 0.8x, Capex Guidance $285-330M,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 ERO Key Statistics: PE 11.23, Forward PE 8.3, PEG 0.12, D/E 72%, ROE 17.32%, Profit Margin 29.79%, Price $33.19,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S&amp;P Global -- 'The Copper Conundrum: Why Meeting AI-Era Electrification Demands Is a Race Against Time' -- AI data centers projected to consume 500,000 tonnes copper annually by 2030, January 2026</w:t>
      </w:r>
    </w:p>
    <w:p>
      <w:pPr>
        <w:spacing w:before="20" w:after="20"/>
        <w:ind w:left="170"/>
      </w:pPr>
      <w:r>
        <w:rPr>
          <w:rFonts w:ascii="Calibri" w:hAnsi="Calibri"/>
          <w:b/>
          <w:color w:val="4A6B25"/>
          <w:sz w:val="15"/>
        </w:rPr>
        <w:t xml:space="preserve">5. </w:t>
      </w:r>
      <w:r>
        <w:rPr>
          <w:rFonts w:ascii="Calibri" w:hAnsi="Calibri"/>
          <w:b w:val="0"/>
          <w:color w:val="3A4A28"/>
          <w:sz w:val="17"/>
        </w:rPr>
        <w:t>Ero Copper Corporate -- Leadership Succession: David Strang to Executive Chairman, Makko DeFilippo appointed President and CEO effective January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