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ESPR</w:t>
      </w:r>
      <w:r>
        <w:rPr>
          <w:rFonts w:ascii="Calibri" w:hAnsi="Calibri"/>
          <w:b/>
          <w:color w:val="1A2010"/>
          <w:sz w:val="40"/>
        </w:rPr>
        <w:t xml:space="preserve">  Esperion Therapeutics, Inc.</w:t>
      </w:r>
    </w:p>
    <w:p>
      <w:pPr>
        <w:spacing w:after="120"/>
      </w:pPr>
      <w:r>
        <w:rPr>
          <w:rFonts w:ascii="Calibri" w:hAnsi="Calibri"/>
          <w:b/>
          <w:color w:val="6E8450"/>
          <w:sz w:val="18"/>
        </w:rPr>
        <w:t>GROWTH SLEEVE · 2026-10-19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(Delisted) · United States</w:t>
      </w:r>
    </w:p>
    <w:p>
      <w:pPr>
        <w:spacing w:after="80"/>
      </w:pPr>
      <w:r>
        <w:rPr>
          <w:rFonts w:ascii="Calibri" w:hAnsi="Calibri"/>
          <w:b w:val="0"/>
          <w:color w:val="3A4A28"/>
          <w:sz w:val="20"/>
        </w:rPr>
        <w:t>Esperion Therapeutics was a commercial-stage biopharmaceutical company focused on non-statin LDL-cholesterol-lowering therapies, marketing NEXLETOL and NEXLIZET (bempedoic acid-based oral medicines) in the U.S. and NILEMDO/NUSTENDI internationally through partners including Daiichi Sankyo and Otsuka. On July 13, 2026, ARCHIMED's MED Platform II fund completed its take-private acquisition of Esperion for $3.16/share cash plus up to $100M in contingent value rights, valuing the deal at up to $1.1B on a fully diluted basis. Esperion shares were subsequently delisted from NASDAQ and the company filed Form 15 to terminate SEC reporting obligations [1]. Full-year 2025 revenue grew 21% to $403.1M, and Q1 2026 revenue reached $80.1M (+23.2% YoY) prior to the acquisition close.</w:t>
      </w:r>
    </w:p>
    <w:p>
      <w:r>
        <w:rPr>
          <w:rFonts w:ascii="Calibri" w:hAnsi="Calibri"/>
          <w:b/>
          <w:color w:val="6E8450"/>
          <w:sz w:val="18"/>
        </w:rPr>
        <w:t>294 Employees · https://www.esperion.com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Esperion drove multiple product expansions in its final years as a public company — the core NEXLETOL/NEXLIZET franchise expanded to the EU (NILEMDO/NUSTENDI), a newly commercialized Japan launch via Otsuka generated a $90M milestone payment, and the 2026 acquisition of Corstasis Therapeutics added Enbumyst (bumetanide nasal spray) to the cardiovascular portfolio [2][3]. Meaningful multi-geography expansion but not a transformative business-model pivot. AI Deployment (1/2): Management stated teams were 'empowered to adopt AI to support efficiencies and maximize budgets,' but no shipped AI product or quantified savings were identified [4]. Market Share (1/2): NEXLETOL/NEXLIZET are first-in-class oral ACL-inhibitor non-statin LDL therapies, a category Esperion effectively created, with U.S. net product revenue of $43M/quarter in Q1 2026 and management projecting $205M in 2026 U.S. product sales [2]. However, absolute market share data was not disclosed. Product Pipeline (1/2): The Corstasis acquisition and completed Japan launch were specific, dated developments. CVR milestones tied to Enbumyst reaching $160M annual revenue through 2030 suggest pipeline potential, but forward visibility beyond these was limited pre-acquisition. R&amp;D Intensity (0/1): No R&amp;D-to-revenue disclosure relative to specialty pharma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Esperion's stated purpose — bringing new non-statin medicines to market for patients whose cardiovascular risk is not adequately addressed by existing therapies — is clear and specific to its LDL-C franchise but reads as standard specialty-pharma framing [2]. Community Impact (0/2): No charitable programs, foundation, or community investment data was identified. Employee Retention (0/2): No turnover or tenure data publicly available for the 294-person organization. Comparably listed a culture score of 30/100 but with insufficient data for meaningful analysis. Insider Buying (0/2): Insiders were net sellers in 2026 — CEO Sheldon Koenig sold 53,588 shares (~$168.8K) and CFO Benjamin Halladay and CLO Benjamin Looker also sold shares in June 2026, consistent with routine equity-award liquidity ahead of the pending buyout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pre-acquisition data. Revenue growth was strong — 23.2% YoY and a ~75% 3-year revenue CAGR (2022 $75.5M to 2025 $403.1M) as the bempedoic acid franchise scaled, both scoring 1.0. Forward P/E of 12.35x was well below the 20x target. However, the balance sheet was weak: shareholders' equity was negative (book value of -$1.196/share against $543.8M of total debt), making D/E and ROE undefined in a way economically worse than the 300%/0% floors — both scored zero (ROE at 2x weight) [5]. Profit margin remained slightly negative (-1.8%), also scoring zero. PEG was unavailable and excluded. The stock was acquired at $3.16/share on July 13, 2026 and delisted; all metrics reflect the final pre-acquisition state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Esperion showed a genuine but narrow purpose around expanding non-statin LDL-lowering therapy access, and management continued investing in geographic and portfolio expansion (Japan launch, Corstasis acquisition) while unprofitable. However, the company's decision to sell itself to ARCHIMED's private equity fund for cash — combined with net insider selling ahead of the deal and no evidence of a high-trust culture — places it firmly in Sinek's finite category. The company optimized for an exit rather than a multi-decade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Esperion's purpose of expanding non-statin LDL-C treatment options was genuine and patient-oriented, shaping continued investment in franchise expansion (Japan, EU, Corstasis) [2][3]. But the company's own decision to accept a private-equity buyout rather than pursue an independent long-term path undercuts the case that this was a cause built to outlast any single ownership structure. The cause was subordinate to the exit.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evidence of layoffs, high turnover, or internal instability was found, and the 294-person organization continued adding senior commercial leadership (CCO John Harlow, November 2025) [4]. Absent positive retention data, scored as average rather than demonstrated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framed statin/PCSK9-inhibitor competitors as 'worthy rivals' sharpening Esperion's strategy; competitive positioning was limited to clinical-differentiation claims rather than an explicit growth-through-competition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Esperion remained focused on its original LDL-C/cardiovascular franchise since founding, expanding geographically and adding an adjacent nasal-spray diuretic via the Corstasis deal, but did not undertake a transformative reinvention — the same core franchise, incrementally extended, ultimately sold to private equity.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continued funding international expansion (Japan launch, Corstasis acquisition) while the company remained unprofitable on a GAAP basis, showing willingness to invest ahead of near-term earnings [2][3]. This represents a single pattern rather than repeated costly long-term bets, and the ultimate decision to sell to ARCHIMED suggests leadership chose a near-term exit over the longer road to independent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Esperion's underlying franchise was genuinely accelerating before the take-private — full-year 2025 revenue grew 21% to $403.1M and Q1 2026 revenue rose 23.2% YoY to $80.1M, with U.S. net product revenue up 38% as NEXLETOL/NEXLIZET prescription volume climbed and the Otsuka-partnered Japan launch added a new royalty stream [2]. Management projected $205M in 2026 U.S. product sales and $321M for 2027. The bempedoic acid franchise addressed a genuine unmet need for statin-intolerant patients, and the Inspire Impact Score of 39 (ALIGNED) made it one of the few pharma names meeting faith-based investment criteria. Forward P/E of 12.35x looked inexpensive for a company compounding revenue at a ~75% three-year CAGR.</w:t>
      </w:r>
    </w:p>
    <w:p>
      <w:pPr>
        <w:spacing w:after="120"/>
      </w:pPr>
      <w:r>
        <w:rPr>
          <w:rFonts w:ascii="Calibri" w:hAnsi="Calibri"/>
          <w:b w:val="0"/>
          <w:color w:val="3A4A28"/>
          <w:sz w:val="20"/>
        </w:rPr>
        <w:t>This is no longer an investable equity story. ARCHIMED completed its take-private acquisition of Esperion on July 13, 2026 at $3.16/share cash, and the stock was delisted from NASDAQ [1]. Shareholders received $3.16 per share plus contingent value rights: up to $40M if annual NEXLETOL/NEXLIZET net sales exceed $350M in 2027, and up to $60M if annual Enbumyst net sales reach $160M in any year through 2030. The balance sheet was weak on a standalone basis (negative shareholders' equity of ~-$308M against $543.8M of total debt), which explains why the board accepted a private equity offer rather than continuing to compound independently. At least one shareholder law firm (Ademi LLP) investigated whether the $3.16 offer was fair, noting substantial insider benefits under change-of-control arrangements and a deal penalty limiting competing transactions [5]. The CVR payments remain the only potential residual value for former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Contingent value right payments: up to $40M if 2027 NEXLETOL/NEXLIZET annual net sales exceed $350M (vs. management's pre-deal forecast of $321M), payable to former shareholders [1]</w:t>
      </w:r>
    </w:p>
    <w:p>
      <w:pPr>
        <w:spacing w:before="40" w:after="40"/>
        <w:ind w:left="283"/>
      </w:pPr>
      <w:r>
        <w:rPr>
          <w:rFonts w:ascii="Calibri" w:hAnsi="Calibri"/>
          <w:b/>
          <w:color w:val="4A6B25"/>
          <w:sz w:val="20"/>
        </w:rPr>
        <w:t xml:space="preserve">2. </w:t>
      </w:r>
      <w:r>
        <w:rPr>
          <w:rFonts w:ascii="Calibri" w:hAnsi="Calibri"/>
          <w:b w:val="0"/>
          <w:color w:val="3A4A28"/>
          <w:sz w:val="20"/>
        </w:rPr>
        <w:t>Second CVR tranche: up to $60M if Enbumyst (bumetanide nasal spray) annual net sales reach $160M in any year through 2030 under ARCHIMED ownership [1]</w:t>
      </w:r>
    </w:p>
    <w:p>
      <w:pPr>
        <w:spacing w:before="40" w:after="40"/>
        <w:ind w:left="283"/>
      </w:pPr>
      <w:r>
        <w:rPr>
          <w:rFonts w:ascii="Calibri" w:hAnsi="Calibri"/>
          <w:b/>
          <w:color w:val="4A6B25"/>
          <w:sz w:val="20"/>
        </w:rPr>
        <w:t xml:space="preserve">3. </w:t>
      </w:r>
      <w:r>
        <w:rPr>
          <w:rFonts w:ascii="Calibri" w:hAnsi="Calibri"/>
          <w:b w:val="0"/>
          <w:color w:val="3A4A28"/>
          <w:sz w:val="20"/>
        </w:rPr>
        <w:t>Potential inclusion of bempedoic acid in U.S. Dyslipidemia Guidelines, which could drive incremental prescriber adoption and accelerate the $350M sales threshold triggering the first CVR payment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and no longer tradeable — the only remaining value for former shareholders is through the non-tradeable contingent value rights, which are capped and dependent on commercial execution under new private ownership [1]</w:t>
      </w:r>
    </w:p>
    <w:p>
      <w:pPr>
        <w:spacing w:before="40" w:after="40"/>
        <w:ind w:left="283"/>
      </w:pPr>
      <w:r>
        <w:rPr>
          <w:rFonts w:ascii="Calibri" w:hAnsi="Calibri"/>
          <w:b/>
          <w:color w:val="4A6B25"/>
          <w:sz w:val="20"/>
        </w:rPr>
        <w:t xml:space="preserve">2. </w:t>
      </w:r>
      <w:r>
        <w:rPr>
          <w:rFonts w:ascii="Calibri" w:hAnsi="Calibri"/>
          <w:b w:val="0"/>
          <w:color w:val="3A4A28"/>
          <w:sz w:val="20"/>
        </w:rPr>
        <w:t>CVR milestone risk: NEXLETOL/NEXLIZET must exceed $350M in 2027 sales (vs. $205M projected for 2026) to trigger the first $40M payment, requiring ~71% growth that may be difficult to achieve under new ownership transition [1][2]</w:t>
      </w:r>
    </w:p>
    <w:p>
      <w:pPr>
        <w:spacing w:before="40" w:after="40"/>
        <w:ind w:left="283"/>
      </w:pPr>
      <w:r>
        <w:rPr>
          <w:rFonts w:ascii="Calibri" w:hAnsi="Calibri"/>
          <w:b/>
          <w:color w:val="4A6B25"/>
          <w:sz w:val="20"/>
        </w:rPr>
        <w:t xml:space="preserve">3. </w:t>
      </w:r>
      <w:r>
        <w:rPr>
          <w:rFonts w:ascii="Calibri" w:hAnsi="Calibri"/>
          <w:b w:val="0"/>
          <w:color w:val="3A4A28"/>
          <w:sz w:val="20"/>
        </w:rPr>
        <w:t>Negative shareholders' equity (~-$308M) and $543.8M of total debt meant the standalone business was financially fragile, validating ARCHIMED's low acquisition price of $3.16/share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Esperion's revenue was generated through FDA/EMA-approved prescription drugs sold via a physician-prescribing and payer-reimbursement channel — a highly regulated commercialization model that AI cannot disintermediate [2]. Manufacturing, clinical development, and regulatory approval processes remain structurally insulated from AI substitution, and no analyst commentary flagged AI disruption risk specific to Esperion's franchise. However, AI-driven drug discovery could eventually accelerate competitor development of alternative LDL-lowering therapies, reducing Esperion's first-mover advantage. AI Opportunity (0/1): No evidence of AI-derived revenue or AI-enabled product features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ARCHIMED Completes Take-Private of Esperion Therapeutics — $3.16/share cash plus up to $100M CVRs, Deal Closed July 13, 2026, Delisted from NASDAQ — Pulse2, SahmCapital, Latham &amp; Watkins, July 2026</w:t>
      </w:r>
    </w:p>
    <w:p>
      <w:pPr>
        <w:spacing w:before="20" w:after="20"/>
        <w:ind w:left="170"/>
      </w:pPr>
      <w:r>
        <w:rPr>
          <w:rFonts w:ascii="Calibri" w:hAnsi="Calibri"/>
          <w:b/>
          <w:color w:val="4A6B25"/>
          <w:sz w:val="15"/>
        </w:rPr>
        <w:t xml:space="preserve">2. </w:t>
      </w:r>
      <w:r>
        <w:rPr>
          <w:rFonts w:ascii="Calibri" w:hAnsi="Calibri"/>
          <w:b w:val="0"/>
          <w:color w:val="3A4A28"/>
          <w:sz w:val="17"/>
        </w:rPr>
        <w:t>Esperion Reports Fourth Quarter and Full Year 2025 Financial Results and Q1 2026 Results — Revenue $403.1M (FY2025), $80.1M (Q1 2026), U.S. Product Revenue $43M/quarter, 2026 Guidance $205M U.S. Sales — GlobeNewswire, MarketBeat, 2026</w:t>
      </w:r>
    </w:p>
    <w:p>
      <w:pPr>
        <w:spacing w:before="20" w:after="20"/>
        <w:ind w:left="170"/>
      </w:pPr>
      <w:r>
        <w:rPr>
          <w:rFonts w:ascii="Calibri" w:hAnsi="Calibri"/>
          <w:b/>
          <w:color w:val="4A6B25"/>
          <w:sz w:val="15"/>
        </w:rPr>
        <w:t xml:space="preserve">3. </w:t>
      </w:r>
      <w:r>
        <w:rPr>
          <w:rFonts w:ascii="Calibri" w:hAnsi="Calibri"/>
          <w:b w:val="0"/>
          <w:color w:val="3A4A28"/>
          <w:sz w:val="17"/>
        </w:rPr>
        <w:t>Esperion Therapeutics and Corstasis Therapeutics Acquisition (Enbumyst) — CVR Tied to $160M Revenue Milestone Through 2030, Esperion Press Release, 2026</w:t>
      </w:r>
    </w:p>
    <w:p>
      <w:pPr>
        <w:spacing w:before="20" w:after="20"/>
        <w:ind w:left="170"/>
      </w:pPr>
      <w:r>
        <w:rPr>
          <w:rFonts w:ascii="Calibri" w:hAnsi="Calibri"/>
          <w:b/>
          <w:color w:val="4A6B25"/>
          <w:sz w:val="15"/>
        </w:rPr>
        <w:t xml:space="preserve">4. </w:t>
      </w:r>
      <w:r>
        <w:rPr>
          <w:rFonts w:ascii="Calibri" w:hAnsi="Calibri"/>
          <w:b w:val="0"/>
          <w:color w:val="3A4A28"/>
          <w:sz w:val="17"/>
        </w:rPr>
        <w:t>Esperion Therapeutics Leadership — CEO Sheldon Koenig, CCO John Harlow (Nov 2025), Authority Magazine, Esperion.com, 2025-2026</w:t>
      </w:r>
    </w:p>
    <w:p>
      <w:pPr>
        <w:spacing w:before="20" w:after="20"/>
        <w:ind w:left="170"/>
      </w:pPr>
      <w:r>
        <w:rPr>
          <w:rFonts w:ascii="Calibri" w:hAnsi="Calibri"/>
          <w:b/>
          <w:color w:val="4A6B25"/>
          <w:sz w:val="15"/>
        </w:rPr>
        <w:t xml:space="preserve">5. </w:t>
      </w:r>
      <w:r>
        <w:rPr>
          <w:rFonts w:ascii="Calibri" w:hAnsi="Calibri"/>
          <w:b w:val="0"/>
          <w:color w:val="3A4A28"/>
          <w:sz w:val="17"/>
        </w:rPr>
        <w:t>Esperion Insider Transactions and Shareholder Scrutiny — CEO/CFO/CLO Net Selling, Ademi LLP Investigation of Deal Fairness, SEC EDGAR Form 4 Filings, TipRanks, MarketBeat,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