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ESRT</w:t>
      </w:r>
      <w:r>
        <w:rPr>
          <w:rFonts w:ascii="Calibri" w:hAnsi="Calibri"/>
          <w:b/>
          <w:color w:val="1A2010"/>
          <w:sz w:val="40"/>
        </w:rPr>
        <w:t xml:space="preserve">  Empire State Realty Trust, Inc.</w:t>
      </w:r>
    </w:p>
    <w:p>
      <w:pPr>
        <w:spacing w:after="120"/>
      </w:pPr>
      <w:r>
        <w:rPr>
          <w:rFonts w:ascii="Calibri" w:hAnsi="Calibri"/>
          <w:b/>
          <w:color w:val="6E8450"/>
          <w:sz w:val="18"/>
        </w:rPr>
        <w:t>DIVIDEND SLEEVE · 2026-09-17 · Inspire: 62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Diversified · NYSE · United States</w:t>
      </w:r>
    </w:p>
    <w:p>
      <w:pPr>
        <w:spacing w:after="80"/>
      </w:pPr>
      <w:r>
        <w:rPr>
          <w:rFonts w:ascii="Calibri" w:hAnsi="Calibri"/>
          <w:b w:val="0"/>
          <w:color w:val="3A4A28"/>
          <w:sz w:val="20"/>
        </w:rPr>
        <w:t>Empire State Realty Trust is a NYC-focused REIT that owns and operates a portfolio of well-leased, modernized office, retail, and multifamily assets — including the iconic Empire State Building and its Observatory — comprising approximately 7.5 million square feet of office space, 0.8 million square feet of retail, and 743 residential units as of mid-2026. Established in 2011 and led by Chairman and CEO Anthony Malkin since 2013, the company is a recognized leader in building energy efficiency and posted its 20th consecutive quarter of positive office leasing spreads through Q2 2026.</w:t>
      </w:r>
    </w:p>
    <w:p>
      <w:r>
        <w:rPr>
          <w:rFonts w:ascii="Calibri" w:hAnsi="Calibri"/>
          <w:b/>
          <w:color w:val="6E8450"/>
          <w:sz w:val="18"/>
        </w:rPr>
        <w:t>642 Employees · https://www.esrtreit.com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ESRT's pioneering deep energy-efficiency retrofit of the Empire State Building — a partnership with the Clinton Global Initiative, Johnson Controls, JLL, and Rocky Mountain Institute that became an industry model — represents a genuine, differentiated repositioning of a legacy asset, reinforced by 20 consecutive quarters of positive leasing spreads (+17.8% blended) as it wins flight-to-quality tenants [1][3]. AI Deployment (0/2): No evidence of AI products, services, or quantified AI-driven efficiency gains was found; ESRT's technology narrative centers on building energy management rather than AI. Market Share (1/2): ESRT is a meaningful niche leader in modernized, amenitized NYC office space but is not a dominant player across the broader NYC office market. Product Pipeline (0/2): As a REIT, there is no product pipeline in the innovation-checklist sense — leasing and observatory reinvestment are operational, not R&amp;D-driven. R&amp;D Intensity (0/1): Not applicable to a real estate operating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ESRT's sustainability-leadership purpose is specific and thoughtful, validated by over 15 years of consistent execution rather than marketing — CEO Malkin helped create the Urban Land Institute's Tenant Energy Optimization Program, extending ESRT's retrofit model industry-wide [2]. Community Impact (2/2): The company has cut portfolio-wide carbon emissions more than 40% since 2009 (54% at the Empire State Building specifically) and holds a GRESB 5-Star rating, a distinctive and quantifiable environmental contribution [1][3]. Employee Retention (1/2): Malkin's 36-year tenure with the company (since 1989, CEO since 2013) suggests leadership stability, though ESRT's small 642-person workforce limits available broader turnover data. Insider Buying (0/2): No specific recent insider buying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the Dividend-sleeve formula. ESRT's GAAP-EPS-based metrics are weak: ROE of 0.52% is far below the 15% target (score 0.03) and profit margin of 0.93% is negligible against the 20% target (score 0.05), reflecting a REIT's heavy depreciation load rather than a cash-flow problem — Core FAD was $16.2M in Q2 2026, up from $11.9M a year earlier, but GAAP net income remains minimal [1][6]. Forward P/E of 68.2 is far above the 20 target (score 0.0), and the GAAP payout ratio of roughly 700% floors at zero given the tiny EPS base, though this is a REIT-accounting artifact rather than a true cash-distribution risk. Revenue grew a modest 0.6% YoY and ~2.8% on a 3-year CAGR (scores 0.69 and 0.52). On dividend history, the company suspended its dividend entirely from Q3 2020 through Q1 2021 during the pandemic, reinstated it in Q2 2021 at one-third the prior level, and has not raised it since — five consecutive years paid (score 0.5, 2x weight) and zero consecutive years of growth or 5-year dividend CAGR (both score 0.0, growth at 2x weight) [5]. D/E of 124% is moderate for a REIT (score 0.76). Daily dollar volume of roughly $9.5M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ESRT has a genuinely validated, multi-cycle sustainability mission led by a 36-year veteran CEO who helped set industry standards rather than just chase them, and the pandemic-era dividend suspension was a real act of balance-sheet discipline — but the company remains fundamentally a traditional NYC landlord that has adapted at the margins rather than reinvented itself.</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ESRT's sustainability-leadership purpose has been lived out for over 15 years, from the Empire State Building's landmark energy retrofit to co-creating ULI's Tenant Energy Optimization Program — a genuine cause, though scoped to a single-market portfolio rather than an industry-transforming scale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Malkin's 36-year tenure and stable senior leadership team suggest continuity, but the small 642-person workforce limits available data on broader organizational trust or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Malkin's public commentary and ULI collaboration focus on setting shared industry efficiency standards other landlords can adopt, an infinite, standard-setting posture rather than a 'beat the competition' framing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Post-pandemic, ESRT has leaned into flight-to-quality office repositioning, observatory reinvestment, and multifamily diversification (743 units), a real but incremental adaptation rather than abandonment of its core NYC landlord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Suspending the dividend for three quarters in 2020-2021 to preserve balance-sheet strength during the pandemic, rather than maintaining the payout at the expense of liquidity, was a genuinely costly, principled decision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ESRT is showing genuine post-pandemic momentum in its core office business, with 20 consecutive quarters of positive leasing spreads (+17.8% blended), 94.9% of its commercial portfolio leased, and Core FAD up from $11.9M to $16.2M year-over-year in Q2 2026 [1][3]. The company's decades-long sustainability leadership (GRESB 5-Star, 40%+ portfolio-wide emissions cuts since 2009) differentiates its assets with flight-to-quality tenants at a time when older, less-efficient office stock struggles to lease [1].</w:t>
      </w:r>
    </w:p>
    <w:p>
      <w:pPr>
        <w:spacing w:after="120"/>
      </w:pPr>
      <w:r>
        <w:rPr>
          <w:rFonts w:ascii="Calibri" w:hAnsi="Calibri"/>
          <w:b w:val="0"/>
          <w:color w:val="3A4A28"/>
          <w:sz w:val="20"/>
        </w:rPr>
        <w:t>The bear case is straightforward: GAAP profitability is negligible (ROE 0.52%, profit margin 0.93%), Forward P/E of 68x is expensive on an earnings basis even accounting for REIT depreciation distortions, and the dividend was cut to a third of its pre-pandemic level in 2021 and has not grown since, with a 700% GAAP payout ratio underscoring how thin the earnings cushion is [1][6]. The Empire State Building Observatory continues to face reduced international tourism and weak pass-program demand, a real drag on a historically high-margin, non-office revenue stream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20th consecutive quarter of positive office leasing spreads (+17.8% blended) signaling durable flight-to-quality tenant demand [1]</w:t>
      </w:r>
    </w:p>
    <w:p>
      <w:pPr>
        <w:spacing w:before="40" w:after="40"/>
        <w:ind w:left="283"/>
      </w:pPr>
      <w:r>
        <w:rPr>
          <w:rFonts w:ascii="Calibri" w:hAnsi="Calibri"/>
          <w:b/>
          <w:color w:val="4A6B25"/>
          <w:sz w:val="20"/>
        </w:rPr>
        <w:t xml:space="preserve">2. </w:t>
      </w:r>
      <w:r>
        <w:rPr>
          <w:rFonts w:ascii="Calibri" w:hAnsi="Calibri"/>
          <w:b w:val="0"/>
          <w:color w:val="3A4A28"/>
          <w:sz w:val="20"/>
        </w:rPr>
        <w:t>Core FAD growth (up to $16.2M in Q2 2026 from $11.9M a year earlier) supporting potential future dividend increases beyond the flat post-2021 payout [1]</w:t>
      </w:r>
    </w:p>
    <w:p>
      <w:pPr>
        <w:spacing w:before="40" w:after="40"/>
        <w:ind w:left="283"/>
      </w:pPr>
      <w:r>
        <w:rPr>
          <w:rFonts w:ascii="Calibri" w:hAnsi="Calibri"/>
          <w:b/>
          <w:color w:val="4A6B25"/>
          <w:sz w:val="20"/>
        </w:rPr>
        <w:t xml:space="preserve">3. </w:t>
      </w:r>
      <w:r>
        <w:rPr>
          <w:rFonts w:ascii="Calibri" w:hAnsi="Calibri"/>
          <w:b w:val="0"/>
          <w:color w:val="3A4A28"/>
          <w:sz w:val="20"/>
        </w:rPr>
        <w:t>Continued NYC office recovery narrative, reinforced by CEO Malkin's public argument that AI will not meaningfully reduce high-value office demand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Observatory NOI remains impaired by reduced international tourism and pass-program weakness, a historically high-margin revenue source [1]</w:t>
      </w:r>
    </w:p>
    <w:p>
      <w:pPr>
        <w:spacing w:before="40" w:after="40"/>
        <w:ind w:left="283"/>
      </w:pPr>
      <w:r>
        <w:rPr>
          <w:rFonts w:ascii="Calibri" w:hAnsi="Calibri"/>
          <w:b/>
          <w:color w:val="4A6B25"/>
          <w:sz w:val="20"/>
        </w:rPr>
        <w:t xml:space="preserve">2. </w:t>
      </w:r>
      <w:r>
        <w:rPr>
          <w:rFonts w:ascii="Calibri" w:hAnsi="Calibri"/>
          <w:b w:val="0"/>
          <w:color w:val="3A4A28"/>
          <w:sz w:val="20"/>
        </w:rPr>
        <w:t>GAAP payout ratio near 700% and a dividend still at one-third its pre-2020 level reflect a thin earnings cushion versus distributions [5][6]</w:t>
      </w:r>
    </w:p>
    <w:p>
      <w:pPr>
        <w:spacing w:before="40" w:after="40"/>
        <w:ind w:left="283"/>
      </w:pPr>
      <w:r>
        <w:rPr>
          <w:rFonts w:ascii="Calibri" w:hAnsi="Calibri"/>
          <w:b/>
          <w:color w:val="4A6B25"/>
          <w:sz w:val="20"/>
        </w:rPr>
        <w:t xml:space="preserve">3. </w:t>
      </w:r>
      <w:r>
        <w:rPr>
          <w:rFonts w:ascii="Calibri" w:hAnsi="Calibri"/>
          <w:b w:val="0"/>
          <w:color w:val="3A4A28"/>
          <w:sz w:val="20"/>
        </w:rPr>
        <w:t>Forward P/E of 68x prices in a leasing recovery that depends on continued NYC office demand strength holding through any broader economic slowdown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Physical office, retail, and multifamily real estate cannot be substituted by AI, and CEO Tony Malkin has directly argued that predictions of AI eliminating high-value-added NYC office jobs 'en masse' are wrong, noting AI will affect hiring practices but not office-space demand [3]. This structural immunity is borne out by ESRT's own leasing results — 20 consecutive quarters of positive leasing spreads and 94.9% commercial portfolio leased as of Q2 2026 — with no AI-linked revenue opportunity to add a tiebreaker point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Empire State Realty Trust Second Quarter 2026 Results press release, Nasdaq/investors.esrtreit.com, July 2026</w:t>
      </w:r>
    </w:p>
    <w:p>
      <w:pPr>
        <w:spacing w:before="20" w:after="20"/>
        <w:ind w:left="170"/>
      </w:pPr>
      <w:r>
        <w:rPr>
          <w:rFonts w:ascii="Calibri" w:hAnsi="Calibri"/>
          <w:b/>
          <w:color w:val="4A6B25"/>
          <w:sz w:val="15"/>
        </w:rPr>
        <w:t xml:space="preserve">2. </w:t>
      </w:r>
      <w:r>
        <w:rPr>
          <w:rFonts w:ascii="Calibri" w:hAnsi="Calibri"/>
          <w:b w:val="0"/>
          <w:color w:val="3A4A28"/>
          <w:sz w:val="17"/>
        </w:rPr>
        <w:t>LEADERS Magazine interview with Anthony E. Malkin, Chairman and CEO, Empire State Realty Trust, October 2024</w:t>
      </w:r>
    </w:p>
    <w:p>
      <w:pPr>
        <w:spacing w:before="20" w:after="20"/>
        <w:ind w:left="170"/>
      </w:pPr>
      <w:r>
        <w:rPr>
          <w:rFonts w:ascii="Calibri" w:hAnsi="Calibri"/>
          <w:b/>
          <w:color w:val="4A6B25"/>
          <w:sz w:val="15"/>
        </w:rPr>
        <w:t xml:space="preserve">3. </w:t>
      </w:r>
      <w:r>
        <w:rPr>
          <w:rFonts w:ascii="Calibri" w:hAnsi="Calibri"/>
          <w:b w:val="0"/>
          <w:color w:val="3A4A28"/>
          <w:sz w:val="17"/>
        </w:rPr>
        <w:t>Bisnow — "Empire State Realty CEO Tony Malkin Says NYC Is Insulated From AI Job Impacts," 2026</w:t>
      </w:r>
    </w:p>
    <w:p>
      <w:pPr>
        <w:spacing w:before="20" w:after="20"/>
        <w:ind w:left="170"/>
      </w:pPr>
      <w:r>
        <w:rPr>
          <w:rFonts w:ascii="Calibri" w:hAnsi="Calibri"/>
          <w:b/>
          <w:color w:val="4A6B25"/>
          <w:sz w:val="15"/>
        </w:rPr>
        <w:t xml:space="preserve">4. </w:t>
      </w:r>
      <w:r>
        <w:rPr>
          <w:rFonts w:ascii="Calibri" w:hAnsi="Calibri"/>
          <w:b w:val="0"/>
          <w:color w:val="3A4A28"/>
          <w:sz w:val="17"/>
        </w:rPr>
        <w:t>Empire State Realty Trust First Quarter 2026 Results, investors.esrtreit.com, 2026</w:t>
      </w:r>
    </w:p>
    <w:p>
      <w:pPr>
        <w:spacing w:before="20" w:after="20"/>
        <w:ind w:left="170"/>
      </w:pPr>
      <w:r>
        <w:rPr>
          <w:rFonts w:ascii="Calibri" w:hAnsi="Calibri"/>
          <w:b/>
          <w:color w:val="4A6B25"/>
          <w:sz w:val="15"/>
        </w:rPr>
        <w:t xml:space="preserve">5. </w:t>
      </w:r>
      <w:r>
        <w:rPr>
          <w:rFonts w:ascii="Calibri" w:hAnsi="Calibri"/>
          <w:b w:val="0"/>
          <w:color w:val="3A4A28"/>
          <w:sz w:val="17"/>
        </w:rPr>
        <w:t>Empire State Realty Trust dividend suspension (August 2020) and reinstatement press releases, Nasdaq, 2020-2021</w:t>
      </w:r>
    </w:p>
    <w:p>
      <w:pPr>
        <w:spacing w:before="20" w:after="20"/>
        <w:ind w:left="170"/>
      </w:pPr>
      <w:r>
        <w:rPr>
          <w:rFonts w:ascii="Calibri" w:hAnsi="Calibri"/>
          <w:b/>
          <w:color w:val="4A6B25"/>
          <w:sz w:val="15"/>
        </w:rPr>
        <w:t xml:space="preserve">6. </w:t>
      </w:r>
      <w:r>
        <w:rPr>
          <w:rFonts w:ascii="Calibri" w:hAnsi="Calibri"/>
          <w:b w:val="0"/>
          <w:color w:val="3A4A28"/>
          <w:sz w:val="17"/>
        </w:rPr>
        <w:t>Yahoo Finance — ESRT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