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ET</w:t>
      </w:r>
      <w:r>
        <w:rPr>
          <w:rFonts w:ascii="Calibri" w:hAnsi="Calibri"/>
          <w:b/>
          <w:color w:val="1A2010"/>
          <w:sz w:val="40"/>
        </w:rPr>
        <w:t xml:space="preserve">  Energy Transfer LP</w:t>
      </w:r>
    </w:p>
    <w:p>
      <w:pPr>
        <w:spacing w:after="120"/>
      </w:pPr>
      <w:r>
        <w:rPr>
          <w:rFonts w:ascii="Calibri" w:hAnsi="Calibri"/>
          <w:b/>
          <w:color w:val="6E8450"/>
          <w:sz w:val="18"/>
        </w:rPr>
        <w:t>DIVIDEND SLEEVE · 2026-10-08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ASE · United States</w:t>
      </w:r>
    </w:p>
    <w:p>
      <w:pPr>
        <w:spacing w:after="80"/>
      </w:pPr>
      <w:r>
        <w:rPr>
          <w:rFonts w:ascii="Calibri" w:hAnsi="Calibri"/>
          <w:b w:val="0"/>
          <w:color w:val="3A4A28"/>
          <w:sz w:val="20"/>
        </w:rPr>
        <w:t>Energy Transfer LP owns and operates approximately 140,000 miles of pipeline and associated midstream infrastructure across NGL and refined products, crude oil, interstate gas, intrastate gas, and midstream gathering segments, headquartered in Dallas, Texas. Co-CEOs Thomas E. Long and Marshall S. McCrea III run day-to-day operations under Executive Chairman and founder Kelcy Warren. Q2 2026 delivered revenue of $34.3B (+78% YoY), adjusted EBITDA of $5.07B (vs. $3.9B a year ago), and EPS of $0.59 (beating $0.37 estimate), prompting management to raise full-year 2026 EBITDA guidance by $500M to $18.8–19.1B [1].</w:t>
      </w:r>
    </w:p>
    <w:p>
      <w:r>
        <w:rPr>
          <w:rFonts w:ascii="Calibri" w:hAnsi="Calibri"/>
          <w:b/>
          <w:color w:val="6E8450"/>
          <w:sz w:val="18"/>
        </w:rPr>
        <w:t>22,311 Employees · https://energytransfer.com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Energy Transfer delivered record operational volumes in Q2 2026 across NGL transportation (+13%), NGL exports (+25%), crude oil transportation (+4%), and midstream gathering (+4%), with major growth projects running ahead of schedule [1]. The company made a disciplined strategic reallocation, suspending Lake Charles LNG development in late 2025 to focus capital on its gas pipeline backlog [2] — meaningful execution within its core business rather than a transformative pivot. AI Deployment (0/2): No evidence of AI-powered products or quantified AI-driven savings was found; Glassdoor reviews note that 'long-standing routines frequently take precedence over more efficient or updated processes,' suggesting technology adoption lags industry peers [3]. Market Share (2/2): With ~140,000 miles of pipeline, Energy Transfer is one of the largest midstream operators in the U.S., and record segment volumes plus 25% YoY NGL export growth demonstrate active share gains in a scale-driven business [1]. Product Pipeline (2/2): Named, capital-quantified growth projects with specific capacity targets — the $5.6B Transwestern Desert Southwest expansion (up to 2.3 Bcf/d capacity), Hugh Brinson Pipeline, Mustang Draw I, and $5.6–5.9B of 2026 growth capex with $5B+/year visibility through 2029 [2][4]. R&amp;D Intensity (0/1): Midstream pipeline operators do not carry meaningful R&amp;D budgets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Energy Transfer's stated mission — 'offering a distinct opportunity for investors to participate in the attractive growth of the energy sector' — is explicitly framed around investor returns with no purpose beyond profit, placing it at the boilerplate tier [5]. Community Impact (1/2): Executive Chairman Kelcy Warren has funded specific Dallas community programs including Klyde Warren Park ($10M plus a $20M expansion gift) and the West Dallas Youth Academy, though these blend personal and corporate philanthropy and are concentrated in one city [6]. Employee Retention (0/2): Glassdoor reviews describe leadership as 'very top down,' a culture that 'can feel like a good-old-boys network' with 'inconsistent treatment of employees across teams' — not indicative of mission-driven retention [3]. Insider Buying (0/2): No evidence of net insider buying by executives in the trailing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Energy Transfer has improved its financial profile: D/E of 138.3% (down from 190% previously) is above the 70% target but well inside the 300% floor (score 0.70) [1]. ROE of 14.6% is approaching but just below the 15% target (score 0.97), and Forward P/E of 11.7x provides solid value (score 1.0). Revenue growth of 78.4% YoY (score 1.0) is driven by the Q2 2026 surge with intrastate natural gas revenue more than tripling, while the 5-year revenue CAGR of approximately 9% (score 0.93) reflects steady growth across the infrastructure base. Profit margin of 4.9% (score 0.25) is typical for a low-margin, high-volume midstream pass-through business. On dividend metrics, consecutive years paid of approximately 29 (since 1996, with one cut but no full suspension) scores at maximum with 2x weight, while 5 years of consecutive distribution growth since the 2020 cut (score 0.5) and a 5-year distribution growth CAGR of approximately 4% (score 0.67, 2x weight) reflect the recovery trajectory. Payout ratio of 91.4% on a net income basis (score 0.14) understates actual coverage, as MLP distributions are conventionally measured against distributable cash flow — Q2 2026 alone generated $2.6B+ in DCF [1]. Daily dollar volume of $182M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Energy Transfer is built and run to maximize investor distributions and pipeline scale, not around an idealistic cause. Its explicit investor-return mission statement, a 'top-down, good-old-boys' internal culture per employee reviews, and an aggressive legal strategy of suing environmental critics (winning a $667M jury verdict against Greenpeace and pursuing further claims) rather than addressing the underlying environmental record (pipeline incidents, $100M+ in fines) place this firmly in Sinek's finite-player category.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Energy Transfer's own stated mission — 'offering a distinct opportunity for investors to participate in the attractive growth of the energy sector' — is explicitly a financial-returns statement with no service-oriented or idealistic component [5]. The company's pattern of SLAPP litigation against Greenpeace to silence environmental criticism, including a $667M North Dakota jury verdict and further pending suits, is the opposite of an inclusive, service-oriented cause [7].</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Energy Transfer's leadership as 'very top down' with a culture that 'can feel like a good-old-boys network,' 'inconsistent treatment of employees across teams,' and routines taking precedence over innovation — clear indicators of a lower-trust organizational environment where psychological safety is limited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Public commentary from Energy Transfer management centers on volume records, project execution, and scale rather than acknowledging strengths of competitors like Enterprise Products, Williams, or Kinder Morgan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Suspending the Lake Charles LNG export project in late 2025 to redirect capital toward the growing natural gas pipeline backlog shows willingness to reallocate away from a previously prioritized initiative [2]. The pivot toward data-center-oriented natural gas pipeline capacity (Desert Southwest expansion, Hugh Brinson Pipeline) demonstrates adaptation to emerging demand drivers. This is portfolio optimization within the existing midstream model, however, not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Sustaining $5B+ in annual growth capex through 2029 reflects confidence in the business, but no evidence points to leadership sacrificing near-term performance for a principled long-term cause. The company's playbook of aggressive litigation against critics — rather than addressing root causes behind environmental fines and pipeline incidents — reflects protecting the business from accountability rather than courageous, cause-driven leadership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Energy Transfer at $20.48 with a $70.5B market cap offers investors a 6.56% distribution yield backed by a scaled, diversified midstream asset base (~140,000 miles of pipeline) generating record volumes across NGL, crude, and gas segments. Q2 2026 was exceptional — revenue of $34.3B (+78% YoY), adjusted EBITDA of $5.07B (up from $3.9B), and EPS of $0.59 (beating $0.37 estimate), driven by intrastate natural gas revenue more than tripling as data center power demand surges [1]. Management raised full-year 2026 EBITDA guidance by $500M to $18.8–19.1B, and a committed $5.6–5.9B 2026 growth capital program with $5B+/year visibility through 2029 — including the $5.6B Desert Southwest expansion — provides unusually strong multi-year revenue visibility [2][4]. D/E has improved to 138.3%, Forward P/E is a modest 11.7x, and the distribution has grown for 19+ consecutive quarters with management targeting sustainable 3–5% annual increases.</w:t>
      </w:r>
    </w:p>
    <w:p>
      <w:pPr>
        <w:spacing w:after="120"/>
      </w:pPr>
      <w:r>
        <w:rPr>
          <w:rFonts w:ascii="Calibri" w:hAnsi="Calibri"/>
          <w:b w:val="0"/>
          <w:color w:val="3A4A28"/>
          <w:sz w:val="20"/>
        </w:rPr>
        <w:t>The bear case is less about the balance sheet and more about governance, culture, and environmental track record. Energy Transfer's mission statement frames the company explicitly around investor returns with no articulated purpose beyond growth, and Glassdoor reviews describe a 'top-down, good-old-boys' culture where innovation is deprioritized [3][5]. The company has a well-documented environmental and legal record: $100M+ in fines, pipeline incidents, and an aggressive litigation strategy against Greenpeace that produced a $667M jury verdict with further suits pending — raising ongoing regulatory, reputational, and community-relations risk [7]. The 91.4% net-income-based payout ratio, while cushioned by strong DCF coverage, signals thin GAAP earnings support for the distribution (profit margin of just 4.9% is typical for pass-through midstream but leaves little margin for error). Revenue growth of 78.4% YoY is driven by a low Q2 2025 base and commodity price spikes rather than organic volume gains, and D/E of 138.3% — while improved — still reflects significant leverage for a capital-intensive MLP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on-schedule delivery of the $5.6–5.9B 2026 growth capital program, particularly the Desert Southwest expansion ($5.6B, 2.3 Bcf/d capacity), Hugh Brinson Pipeline, and Mustang Draw I, converting committed backlog into contracted EBITDA growth through 2029 [2][4]</w:t>
      </w:r>
    </w:p>
    <w:p>
      <w:pPr>
        <w:spacing w:before="40" w:after="40"/>
        <w:ind w:left="283"/>
      </w:pPr>
      <w:r>
        <w:rPr>
          <w:rFonts w:ascii="Calibri" w:hAnsi="Calibri"/>
          <w:b/>
          <w:color w:val="4A6B25"/>
          <w:sz w:val="20"/>
        </w:rPr>
        <w:t xml:space="preserve">2. </w:t>
      </w:r>
      <w:r>
        <w:rPr>
          <w:rFonts w:ascii="Calibri" w:hAnsi="Calibri"/>
          <w:b w:val="0"/>
          <w:color w:val="3A4A28"/>
          <w:sz w:val="20"/>
        </w:rPr>
        <w:t>AI data center power demand driving structural increase in natural gas transportation and intrastate pipeline volumes — Q2 2026 intrastate gas revenue more than tripled YoY, with the Desert Southwest expansion explicitly targeting this demand [1]</w:t>
      </w:r>
    </w:p>
    <w:p>
      <w:pPr>
        <w:spacing w:before="40" w:after="40"/>
        <w:ind w:left="283"/>
      </w:pPr>
      <w:r>
        <w:rPr>
          <w:rFonts w:ascii="Calibri" w:hAnsi="Calibri"/>
          <w:b/>
          <w:color w:val="4A6B25"/>
          <w:sz w:val="20"/>
        </w:rPr>
        <w:t xml:space="preserve">3. </w:t>
      </w:r>
      <w:r>
        <w:rPr>
          <w:rFonts w:ascii="Calibri" w:hAnsi="Calibri"/>
          <w:b w:val="0"/>
          <w:color w:val="3A4A28"/>
          <w:sz w:val="20"/>
        </w:rPr>
        <w:t>Continued 3–5% annual distribution growth extending the 19+ consecutive quarterly increase streak, supported by raised EBITDA guidance of $18.8–19.1B for full-year 2026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Environmental and legal track record — $100M+ in fines, pipeline incidents, and SLAPP litigation against Greenpeace ($667M verdict plus pending suits) — creates ongoing regulatory, reputational, and community-relations risk that could intensify under stricter future oversight or shift in political environment [7]</w:t>
      </w:r>
    </w:p>
    <w:p>
      <w:pPr>
        <w:spacing w:before="40" w:after="40"/>
        <w:ind w:left="283"/>
      </w:pPr>
      <w:r>
        <w:rPr>
          <w:rFonts w:ascii="Calibri" w:hAnsi="Calibri"/>
          <w:b/>
          <w:color w:val="4A6B25"/>
          <w:sz w:val="20"/>
        </w:rPr>
        <w:t xml:space="preserve">2. </w:t>
      </w:r>
      <w:r>
        <w:rPr>
          <w:rFonts w:ascii="Calibri" w:hAnsi="Calibri"/>
          <w:b w:val="0"/>
          <w:color w:val="3A4A28"/>
          <w:sz w:val="20"/>
        </w:rPr>
        <w:t>Net-income-based payout ratio of 91.4% signals the distribution is barely covered by GAAP earnings (profit margin just 4.9%), and while DCF coverage is healthier, any sustained downturn in commodity volumes or margins would pressure distribution sustainability [1]</w:t>
      </w:r>
    </w:p>
    <w:p>
      <w:pPr>
        <w:spacing w:before="40" w:after="40"/>
        <w:ind w:left="283"/>
      </w:pPr>
      <w:r>
        <w:rPr>
          <w:rFonts w:ascii="Calibri" w:hAnsi="Calibri"/>
          <w:b/>
          <w:color w:val="4A6B25"/>
          <w:sz w:val="20"/>
        </w:rPr>
        <w:t xml:space="preserve">3. </w:t>
      </w:r>
      <w:r>
        <w:rPr>
          <w:rFonts w:ascii="Calibri" w:hAnsi="Calibri"/>
          <w:b w:val="0"/>
          <w:color w:val="3A4A28"/>
          <w:sz w:val="20"/>
        </w:rPr>
        <w:t>Revenue growth of 78.4% YoY is driven by a low Q2 2025 base and commodity/pricing tailwinds rather than structural volume gains — headline growth will normalize sharply in subsequent quarters, and D/E of 138.3% limits financial flexibility during cyclical downturns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Energy Transfer's business — owning and operating approximately 140,000 miles of physical pipeline infrastructure under long-term contracts — is essential energy infrastructure that AI cannot substitute for or disrupt; the value resides in physical transportation and storage assets with regulatory approvals and rights-of-way that took decades to assemble [1]. Record segment volumes and a multi-year, multi-billion-dollar committed growth capital program — including new gas pipeline capacity explicitly tied to AI-driven data center power demand — position Energy Transfer as a net beneficiary of AI adoption across the economy. AI Opportunity (0/1): No evidence was found of quantified AI-related revenue, cost savings, or AI-powered product offerings; the company has not disclosed a specific AI value-creation program, and employee reviews suggest technology adoption lags peers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Energy Transfer Q2 2026 Earnings — Revenue $34.3B (+78% YoY), Adjusted EBITDA $5.07B, EPS $0.59 (Beat $0.37), FY26 EBITDA Guidance Raised to $18.8–19.1B — Quartr, TIKR, Benzinga, August 2026</w:t>
      </w:r>
    </w:p>
    <w:p>
      <w:pPr>
        <w:spacing w:before="20" w:after="20"/>
        <w:ind w:left="170"/>
      </w:pPr>
      <w:r>
        <w:rPr>
          <w:rFonts w:ascii="Calibri" w:hAnsi="Calibri"/>
          <w:b/>
          <w:color w:val="4A6B25"/>
          <w:sz w:val="15"/>
        </w:rPr>
        <w:t xml:space="preserve">2. </w:t>
      </w:r>
      <w:r>
        <w:rPr>
          <w:rFonts w:ascii="Calibri" w:hAnsi="Calibri"/>
          <w:b w:val="0"/>
          <w:color w:val="3A4A28"/>
          <w:sz w:val="17"/>
        </w:rPr>
        <w:t>Energy Transfer Capital Program — Lake Charles LNG Suspension, Desert Southwest $5.6B Expansion, Hugh Brinson Pipeline, Mustang Draw I, $5B+/Year Through 2029 — Energy Transfer Investor Relations, 2025–2026</w:t>
      </w:r>
    </w:p>
    <w:p>
      <w:pPr>
        <w:spacing w:before="20" w:after="20"/>
        <w:ind w:left="170"/>
      </w:pPr>
      <w:r>
        <w:rPr>
          <w:rFonts w:ascii="Calibri" w:hAnsi="Calibri"/>
          <w:b/>
          <w:color w:val="4A6B25"/>
          <w:sz w:val="15"/>
        </w:rPr>
        <w:t xml:space="preserve">3. </w:t>
      </w:r>
      <w:r>
        <w:rPr>
          <w:rFonts w:ascii="Calibri" w:hAnsi="Calibri"/>
          <w:b w:val="0"/>
          <w:color w:val="3A4A28"/>
          <w:sz w:val="17"/>
        </w:rPr>
        <w:t>Energy Transfer Employee Culture — Glassdoor Reviews: 'Top Down,' 'Good-Old-Boys Network,' Routine Over Innovation — Glassdoor,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Energy Transfer Growth Projects — Transwestern Desert Southwest Expansion 2.3 Bcf/d Capacity — Company Press Release, June 2026 Guidance Presentation</w:t>
      </w:r>
    </w:p>
    <w:p>
      <w:pPr>
        <w:spacing w:before="20" w:after="20"/>
        <w:ind w:left="170"/>
      </w:pPr>
      <w:r>
        <w:rPr>
          <w:rFonts w:ascii="Calibri" w:hAnsi="Calibri"/>
          <w:b/>
          <w:color w:val="4A6B25"/>
          <w:sz w:val="15"/>
        </w:rPr>
        <w:t xml:space="preserve">5. </w:t>
      </w:r>
      <w:r>
        <w:rPr>
          <w:rFonts w:ascii="Calibri" w:hAnsi="Calibri"/>
          <w:b w:val="0"/>
          <w:color w:val="3A4A28"/>
          <w:sz w:val="17"/>
        </w:rPr>
        <w:t>Energy Transfer Mission Statement — 'Offering a Distinct Opportunity for Investors' — Comparably, Energy Transfer Corporate, accessed October 2026</w:t>
      </w:r>
    </w:p>
    <w:p>
      <w:pPr>
        <w:spacing w:before="20" w:after="20"/>
        <w:ind w:left="170"/>
      </w:pPr>
      <w:r>
        <w:rPr>
          <w:rFonts w:ascii="Calibri" w:hAnsi="Calibri"/>
          <w:b/>
          <w:color w:val="4A6B25"/>
          <w:sz w:val="15"/>
        </w:rPr>
        <w:t xml:space="preserve">6. </w:t>
      </w:r>
      <w:r>
        <w:rPr>
          <w:rFonts w:ascii="Calibri" w:hAnsi="Calibri"/>
          <w:b w:val="0"/>
          <w:color w:val="3A4A28"/>
          <w:sz w:val="17"/>
        </w:rPr>
        <w:t>Kelcy Warren Community Investment — Klyde Warren Park ($10M + $20M expansion), West Dallas Youth Academy — Fortune Herald, Energy Transfer Community Programs, 2025–2026</w:t>
      </w:r>
    </w:p>
    <w:p>
      <w:pPr>
        <w:spacing w:before="20" w:after="20"/>
        <w:ind w:left="170"/>
      </w:pPr>
      <w:r>
        <w:rPr>
          <w:rFonts w:ascii="Calibri" w:hAnsi="Calibri"/>
          <w:b/>
          <w:color w:val="4A6B25"/>
          <w:sz w:val="15"/>
        </w:rPr>
        <w:t xml:space="preserve">7. </w:t>
      </w:r>
      <w:r>
        <w:rPr>
          <w:rFonts w:ascii="Calibri" w:hAnsi="Calibri"/>
          <w:b w:val="0"/>
          <w:color w:val="3A4A28"/>
          <w:sz w:val="17"/>
        </w:rPr>
        <w:t>Energy Transfer Environmental Record — $100M+ in Fines, Greenpeace $667M Verdict, Dakota Access Controversy, Sustainalytics Medium Risk Rating — Greenpeace, DeSmog, SEC 10-K FY2025, Sustainalytics, 2017–2026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