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EVTV</w:t>
      </w:r>
      <w:r>
        <w:rPr>
          <w:rFonts w:ascii="Calibri" w:hAnsi="Calibri"/>
          <w:b/>
          <w:color w:val="1A2010"/>
          <w:sz w:val="40"/>
        </w:rPr>
        <w:t xml:space="preserve">  Envirotech Vehicles,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62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Auto Manufacturers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Envirotech Vehicles historically built electric commercial vehicles and is transitioning to AI infrastructure after the July 2, 2026 Azio AI merger. 2025 revenue was $5.9M (+218%), 94% from related-party medical supplies, with a Q1 2026 net loss of $3.99M and going-concern doubt. yfinance data was unavailable.</w:t>
      </w:r>
    </w:p>
    <w:p>
      <w:r>
        <w:rPr>
          <w:rFonts w:ascii="Calibri" w:hAnsi="Calibri"/>
          <w:b/>
          <w:color w:val="6E8450"/>
          <w:sz w:val="18"/>
        </w:rPr>
        <w:t>https://www.evtvusa.com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Pivoting from EV manufacturing to AI compute after the Azio AI merger [1]. AI Deployment (1/2): Launched a revenue-generating compute platform, no figures reported [1]. Market Share (0/2): No leadership. Pipeline (1/2): Compute platform roadmap announced, not detailed. R&amp;D Intensity (0/1): No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Mission has changed from clean EVs to AI infrastructure. Community (0/2), Retention (0/2): Glassdoor 3.0/5 culture, CEO replaced in July 2026 [2]. Insider Buying (0/2): None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yfinance returned no data, so only web-sourced metrics are used: revenue growth +218% (1.0), ROE negative on negative equity (0.0, 2x), profit margin deeply negative (0.0); others unavailable. Weighted 1.0 of 4 gives 2 (rounded from 2.5). Liquidity could not be verified, so the floor was not applied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Envirotech abandoned its EV manufacturing identity under financial strain and replaced its CEO, which looks more like survival than service to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Purpose shifted from electric vehicles to AI compute with no stable cause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Leadership change at merger close and 3.0/5 culture rating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 major pivot, but driven by desperation rather than cause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Walked away from EV manufacturing, though under duress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Envirotech is repositioning from EV manufacturing to AI compute after the Azio AI merger, with 2025 revenue up 218% to $5.9M, Q1 2026 revenue of $2.25M (+281%), and a newly launched revenue-generating compute platform [1]. The Inspire score of 62 is strongly aligned.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solvency: Q1 2026 net loss was $3.99M, gross margin is negative, equity is negative with going-concern doubt, and Nasdaq listing warnings apply [1]. EV revenue was zero, 94% of 2025 revenue came from one related-party customer, and the CEO changed in July 2026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Ramp of the AI compute platform following the Azio AI merger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Diversifying revenue beyond related-party medical supplies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Curing Nasdaq compliance issues via new funding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doubt, negative equity and funding strain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Customer concentration: 94% of 2025 revenue from related-party medical supplies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Nasdaq listing risk and leadership turnover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Newly entering AI compute with a tiny platform against hyperscalers and neoclouds; going-concern doubts and listing risk raise exposure [1]. AI Opportunity (0/1): No quantified AI revenue yet.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62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Envirotech Vehicles Q1 2026 10-Q and 2025 results, StockTitan, StockAnalysis, Barchart,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Envirotech leadership: Chris Young named CEO (Sahm Capital, July 2026); Glassdoor Envirotech reviews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