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EWBC</w:t>
      </w:r>
      <w:r>
        <w:rPr>
          <w:rFonts w:ascii="Calibri" w:hAnsi="Calibri"/>
          <w:b/>
          <w:color w:val="1A2010"/>
          <w:sz w:val="40"/>
        </w:rPr>
        <w:t xml:space="preserve">  East West Bancorp, Inc.</w:t>
      </w:r>
    </w:p>
    <w:p>
      <w:pPr>
        <w:spacing w:after="120"/>
      </w:pPr>
      <w:r>
        <w:rPr>
          <w:rFonts w:ascii="Calibri" w:hAnsi="Calibri"/>
          <w:b/>
          <w:color w:val="6E8450"/>
          <w:sz w:val="18"/>
        </w:rPr>
        <w:t>DIVIDEND SLEEVE · 2026-09-26 · Inspire: 42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NASDAQ · United States</w:t>
      </w:r>
    </w:p>
    <w:p>
      <w:pPr>
        <w:spacing w:after="80"/>
      </w:pPr>
      <w:r>
        <w:rPr>
          <w:rFonts w:ascii="Calibri" w:hAnsi="Calibri"/>
          <w:b w:val="0"/>
          <w:color w:val="3A4A28"/>
          <w:sz w:val="20"/>
        </w:rPr>
        <w:t>East West Bancorp, Inc. is the bank holding company for East West Bank, the largest independent bank focused on facilitating commerce and financial services between the United States and Greater China. Founded in 1973 and headquartered in Pasadena, California, the bank has grown under Chairman and CEO Dominic Ng from a $600 million thrift in 1991 into a full-service commercial bank with over $70 billion in assets, delivering record revenue and net income in 2025 and into 2026 [1].</w:t>
      </w:r>
    </w:p>
    <w:p>
      <w:r>
        <w:rPr>
          <w:rFonts w:ascii="Calibri" w:hAnsi="Calibri"/>
          <w:b/>
          <w:color w:val="6E8450"/>
          <w:sz w:val="18"/>
        </w:rPr>
        <w:t>3,500 Employees · https://www.eastwestbank.com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East West has delivered consistent record financial performance but no business-model pivot in the last 5 years — its growth reflects steady execution of its cross-border US-Greater China commercial banking niche rather than a transformative product launch [1]. AI Deployment (0/2): The company's own 10-K risk factors acknowledge rapid AI-driven change in financial services and note that larger competitors have greater resources to invest in technology, but no specific EWBC-branded AI product or quantified internal savings was identified [3]. Market Share (1/2): East West holds a durable niche leadership position in US-Asia cross-border banking and Asian-American community banking, but it is not a share leader in the broader regional banking category. Product Pipeline (0/2): 2026 guidance calls for operating expenses to rise 7%-9% partly on 'hiring and technology investments,' but no specific next-generation product or dated roadmap was disclosed [1]. R&amp;D Intensity (0/1): Banks do not typically disclose R&amp;D-to-revenue, and no comparative data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East West's purpose — being the trusted financial bridge between the US and Greater China for immigrant entrepreneurs and cross-border trade — is specific and distinctive, and CEO Dominic Ng has pursued it consistently for over three decades, including keeping the bank focused on this mission through the 2008 financial crisis and COVID-19 [1][2]. Community Impact (2/2): The bank reports $400M in affordable housing financing, $800M in community development lending, $1.2B in sustainability-related lending, $530M in renewable energy financing, and an 'Outstanding' Community Reinvestment Act rating — specific, dollar-quantified community investment [2]. Employee Retention (0/2): No specific tenure or turnover data was found. Insider Buying (0/2): Recent Form 4 filings show a pattern of routine insider stock sales by directors and officers (e.g., $1.45M, $1.32M, $1.24M sales in 2026) with no offsetting open-market buys identified, indicating net selling rather than net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(dividend sleeve). East West posts a return on equity of 16.58% (above the 15% target), 16.3% revenue growth YoY driven by record fee income, loans and deposits, and a forward P/E of 11.13x — all near or above ideal targets [1]. On dividend quality, the payout ratio is a conservative 26.9%, the board raised the quarterly dividend 33% in Q1 2026 to $0.80/share (a 9-year streak of consecutive annual increases), and the trailing 5-year dividend growth rate of roughly 16.9% is nearly 3x the 6% target [4]. Debt-to-equity is excluded as not meaningful for a bank's capital structure. The combination of strong profitability, above-target growth, and an unusually generous and well-covered dividend produces a near-maximum mechanical score.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East West Bancorp is a genuinely mission-driven institution — Dominic Ng has spent over three decades building the definitive bank for US-Greater China commerce, a niche few competitors have replicated at scale, and the bank's pandemic-era commitment to process every PPP application for its clients regardless of the after-hours cost is a real example of courage. It falls short of a top infinite-game score because the mission has not yet been tested through a leadership transition, and no specific evidence of an 'infinite' competitive mindset (versus a finite, share-focused one) was found.</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mission of being the trusted bridge for capital and commerce between the US and Greater China is distinctive, resilient, and has guided strategy through the 2008 financial crisis and COVID-19 under the same CEO for over 30 years [1][2]. It stops short of the top score because the cause has not yet been tested through a leadership transition, the true test of institutional (versus founder-driven) durability.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During COVID-19, Ng directed staff to process every PPP application that walked in the door, with employees reportedly working past midnight to serve clients — a specific example of an organization willing to sacrifice for its mission [2]. No broader turnover or tenure data was found, so this is scored as adequate rather than exceptional evidence of a high-trust culture.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management commentary was found characterizing competitors as worthy rivals to learn from versus rivals to beat; absent that evidence, this item is scored conservatively at zero.</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East West transformed from a $600 million savings and loan association in 1991 into a $70+ billion full-service commercial and international bank, a genuine business-model evolution, though it has remained anchored to its core cross-border banking niche for over 30 years without a dramatic recent reinvention [1].</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Ng's pandemic-era pledge to help 'everyone who walks in the door' with PPP applications imposed real short-term cost (staff working until midnight, operational strain) in service of the mission [2]. The bank has also sustained its niche cross-border China-focused strategy through periods of significant US-China geopolitical tension rather than retreating to safer, more generic regional banking, a second example of a costly, principled strategic choice.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East West Bancorp is a highly profitable, well-capitalized regional bank with a durable niche — it is the largest independent bank built around US-Greater China commercial and cross-border banking, a franchise built over 35 years under founder-CEO Dominic Ng. Q1 and Q2 2026 both delivered record results (Q2 net income of $364M, EPS up 18% YoY, revenue up 12.5% to $791.1M), 2025 was a record year across nearly every metric, and 2026 guidance calls for continued 5%-7% loan/NII growth [1]. The dividend was raised 33% in Q1 2026 to an annualized $3.20/share on a conservative 26.9% payout ratio, backed by a 16.58% ROE and a forward P/E of just 11.1x — inexpensive for the growth and profitability profile [1][4].</w:t>
      </w:r>
    </w:p>
    <w:p>
      <w:pPr>
        <w:spacing w:after="120"/>
      </w:pPr>
      <w:r>
        <w:rPr>
          <w:rFonts w:ascii="Calibri" w:hAnsi="Calibri"/>
          <w:b w:val="0"/>
          <w:color w:val="3A4A28"/>
          <w:sz w:val="20"/>
        </w:rPr>
        <w:t>The bear case centers on innovation and competitive exposure rather than credit quality. East West has not demonstrated a business-model pivot or publicly quantified AI deployment in the last 5 years, and its own 10-K acknowledges that larger, better-capitalized competitors can outspend it on technology; American Banker highlights broader AI-vendor concentration risk building across community and regional banks [3]. The bank's cross-border China focus, its core differentiator, is also a geopolitical risk: escalating US-China trade or capital-flow restrictions could directly impair the client base that makes East West distinctive. Insider transaction filings in 2026 show a pattern of routine sales by directors and officers with no offsetting purchases, and the elevated PEG ratio of 5.58 suggests the market is not pricing meaningfully more growth into the stock. Overall, strong execution and an attractive dividend are offset by a below-average Innovation score and unresolved AI/geopolitical exposure.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execution against 2026 guidance of 5%-7% loan and net interest income growth, with fee income outpacing balance sheet growth as rate cuts materialize [1]</w:t>
      </w:r>
    </w:p>
    <w:p>
      <w:pPr>
        <w:spacing w:before="40" w:after="40"/>
        <w:ind w:left="283"/>
      </w:pPr>
      <w:r>
        <w:rPr>
          <w:rFonts w:ascii="Calibri" w:hAnsi="Calibri"/>
          <w:b/>
          <w:color w:val="4A6B25"/>
          <w:sz w:val="20"/>
        </w:rPr>
        <w:t xml:space="preserve">2. </w:t>
      </w:r>
      <w:r>
        <w:rPr>
          <w:rFonts w:ascii="Calibri" w:hAnsi="Calibri"/>
          <w:b w:val="0"/>
          <w:color w:val="3A4A28"/>
          <w:sz w:val="20"/>
        </w:rPr>
        <w:t>Further dividend increases building on the 33% Q1 2026 hike and 9-year consecutive growth streak, supported by a payout ratio still under 30% [4]</w:t>
      </w:r>
    </w:p>
    <w:p>
      <w:pPr>
        <w:spacing w:before="40" w:after="40"/>
        <w:ind w:left="283"/>
      </w:pPr>
      <w:r>
        <w:rPr>
          <w:rFonts w:ascii="Calibri" w:hAnsi="Calibri"/>
          <w:b/>
          <w:color w:val="4A6B25"/>
          <w:sz w:val="20"/>
        </w:rPr>
        <w:t xml:space="preserve">3. </w:t>
      </w:r>
      <w:r>
        <w:rPr>
          <w:rFonts w:ascii="Calibri" w:hAnsi="Calibri"/>
          <w:b w:val="0"/>
          <w:color w:val="3A4A28"/>
          <w:sz w:val="20"/>
        </w:rPr>
        <w:t>Expansion of cross-border trade and wealth-management fee income as US-Asia commercial activity normalizes post-tariff-cycle uncertainty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Escalation in US-China trade, capital-controls, or geopolitical tension could directly impair the cross-border client relationships that differentiate East West from generic regional banks</w:t>
      </w:r>
    </w:p>
    <w:p>
      <w:pPr>
        <w:spacing w:before="40" w:after="40"/>
        <w:ind w:left="283"/>
      </w:pPr>
      <w:r>
        <w:rPr>
          <w:rFonts w:ascii="Calibri" w:hAnsi="Calibri"/>
          <w:b/>
          <w:color w:val="4A6B25"/>
          <w:sz w:val="20"/>
        </w:rPr>
        <w:t xml:space="preserve">2. </w:t>
      </w:r>
      <w:r>
        <w:rPr>
          <w:rFonts w:ascii="Calibri" w:hAnsi="Calibri"/>
          <w:b w:val="0"/>
          <w:color w:val="3A4A28"/>
          <w:sz w:val="20"/>
        </w:rPr>
        <w:t>Rising AI-vendor concentration risk across community and regional banks, per American Banker, combined with East West's own disclosed AI/technology resource disadvantage versus larger competitors, could erode fee-based and digital banking competitiveness over time [3]</w:t>
      </w:r>
    </w:p>
    <w:p>
      <w:pPr>
        <w:spacing w:before="40" w:after="40"/>
        <w:ind w:left="283"/>
      </w:pPr>
      <w:r>
        <w:rPr>
          <w:rFonts w:ascii="Calibri" w:hAnsi="Calibri"/>
          <w:b/>
          <w:color w:val="4A6B25"/>
          <w:sz w:val="20"/>
        </w:rPr>
        <w:t xml:space="preserve">3. </w:t>
      </w:r>
      <w:r>
        <w:rPr>
          <w:rFonts w:ascii="Calibri" w:hAnsi="Calibri"/>
          <w:b w:val="0"/>
          <w:color w:val="3A4A28"/>
          <w:sz w:val="20"/>
        </w:rPr>
        <w:t>2026 guidance embeds three 25bp rate cuts and a gradually steepening yield curve; a materially different rate path than assumed could compress the net interest margin the bank's record 2025-2026 results depend 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Commercial and cross-border relationship banking retains meaningful defensive moats — regulatory licensing, deposit relationships, and specialized trade-finance/cross-border expertise that AI tools cannot easily replicate — but East West's own 10-K flags that larger, better-capitalized competitors can out-invest in AI-driven products and services, and industry commentary (American Banker) warns that community and regional banks face rising, poorly understood AI-vendor concentration risk [3]. This keeps the core relationship-banking franchise protected while leaving routine, commoditizable banking functions exposed to fintech/AI competition over time. AI Opportunity (0/1): No EWBC-specific, quantified AI-driven revenue or cost-savings figures were identified in this research pass.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East West Bancorp Q1 2026 and Q2 2026 earnings releases — record net income, EPS, revenue, and FY2026 guidance, BusinessWire/Investing.com, April-August 2026</w:t>
      </w:r>
    </w:p>
    <w:p>
      <w:pPr>
        <w:spacing w:before="20" w:after="20"/>
        <w:ind w:left="170"/>
      </w:pPr>
      <w:r>
        <w:rPr>
          <w:rFonts w:ascii="Calibri" w:hAnsi="Calibri"/>
          <w:b/>
          <w:color w:val="4A6B25"/>
          <w:sz w:val="15"/>
        </w:rPr>
        <w:t xml:space="preserve">2. </w:t>
      </w:r>
      <w:r>
        <w:rPr>
          <w:rFonts w:ascii="Calibri" w:hAnsi="Calibri"/>
          <w:b w:val="0"/>
          <w:color w:val="3A4A28"/>
          <w:sz w:val="17"/>
        </w:rPr>
        <w:t>Dominic Ng leadership profile and PPP commitment during COVID-19 — Wikipedia, Milken Institute, David Bohnett Foundation, American Banker 'Banker of the Year', 2021-2026</w:t>
      </w:r>
    </w:p>
    <w:p>
      <w:pPr>
        <w:spacing w:before="20" w:after="20"/>
        <w:ind w:left="170"/>
      </w:pPr>
      <w:r>
        <w:rPr>
          <w:rFonts w:ascii="Calibri" w:hAnsi="Calibri"/>
          <w:b/>
          <w:color w:val="4A6B25"/>
          <w:sz w:val="15"/>
        </w:rPr>
        <w:t xml:space="preserve">3. </w:t>
      </w:r>
      <w:r>
        <w:rPr>
          <w:rFonts w:ascii="Calibri" w:hAnsi="Calibri"/>
          <w:b w:val="0"/>
          <w:color w:val="3A4A28"/>
          <w:sz w:val="17"/>
        </w:rPr>
        <w:t>East West Bancorp AI/technology competitive risk disclosure and community banking AI-vendor risk — SEC 10-K FY2025, American Banker 'AI risk is sneaking up on community and regional banks', 2026</w:t>
      </w:r>
    </w:p>
    <w:p>
      <w:pPr>
        <w:spacing w:before="20" w:after="20"/>
        <w:ind w:left="170"/>
      </w:pPr>
      <w:r>
        <w:rPr>
          <w:rFonts w:ascii="Calibri" w:hAnsi="Calibri"/>
          <w:b/>
          <w:color w:val="4A6B25"/>
          <w:sz w:val="15"/>
        </w:rPr>
        <w:t xml:space="preserve">4. </w:t>
      </w:r>
      <w:r>
        <w:rPr>
          <w:rFonts w:ascii="Calibri" w:hAnsi="Calibri"/>
          <w:b w:val="0"/>
          <w:color w:val="3A4A28"/>
          <w:sz w:val="17"/>
        </w:rPr>
        <w:t>East West Bancorp dividend history — 33% Q1 2026 increase to $0.80/share, 9 consecutive years of dividend growth — Motley Fool, Koyfin, Macrotrends, 2026</w:t>
      </w:r>
    </w:p>
    <w:p>
      <w:pPr>
        <w:spacing w:before="20" w:after="20"/>
        <w:ind w:left="170"/>
      </w:pPr>
      <w:r>
        <w:rPr>
          <w:rFonts w:ascii="Calibri" w:hAnsi="Calibri"/>
          <w:b/>
          <w:color w:val="4A6B25"/>
          <w:sz w:val="15"/>
        </w:rPr>
        <w:t xml:space="preserve">5. </w:t>
      </w:r>
      <w:r>
        <w:rPr>
          <w:rFonts w:ascii="Calibri" w:hAnsi="Calibri"/>
          <w:b w:val="0"/>
          <w:color w:val="3A4A28"/>
          <w:sz w:val="17"/>
        </w:rPr>
        <w:t>East West Bancorp 2023-2025 ESG/Corporate Responsibility Reports — community development lending, CRA rating, employee demographics</w:t>
      </w:r>
    </w:p>
    <w:p>
      <w:pPr>
        <w:spacing w:before="20" w:after="20"/>
        <w:ind w:left="170"/>
      </w:pPr>
      <w:r>
        <w:rPr>
          <w:rFonts w:ascii="Calibri" w:hAnsi="Calibri"/>
          <w:b/>
          <w:color w:val="4A6B25"/>
          <w:sz w:val="15"/>
        </w:rPr>
        <w:t xml:space="preserve">6. </w:t>
      </w:r>
      <w:r>
        <w:rPr>
          <w:rFonts w:ascii="Calibri" w:hAnsi="Calibri"/>
          <w:b w:val="0"/>
          <w:color w:val="3A4A28"/>
          <w:sz w:val="17"/>
        </w:rPr>
        <w:t>Yahoo Finance / yfinance — EWBC key statistics (ROE, payout ratio, insider transactions),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