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EWTX</w:t>
      </w:r>
      <w:r>
        <w:rPr>
          <w:rFonts w:ascii="Calibri" w:hAnsi="Calibri"/>
          <w:b/>
          <w:color w:val="1A2010"/>
          <w:sz w:val="40"/>
        </w:rPr>
        <w:t xml:space="preserve">  Edgewise Therapeutics, Inc.</w:t>
      </w:r>
    </w:p>
    <w:p>
      <w:pPr>
        <w:spacing w:after="120"/>
      </w:pPr>
      <w:r>
        <w:rPr>
          <w:rFonts w:ascii="Calibri" w:hAnsi="Calibri"/>
          <w:b/>
          <w:color w:val="6E8450"/>
          <w:sz w:val="18"/>
        </w:rPr>
        <w:t>GROWTH SLEEVE · 2026-09-28 · Inspire: 18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Edgewise Therapeutics is a clinical-stage biopharmaceutical company founded in 2017 and headquartered in Boulder, Colorado, historically focused on precision medicines for genetically defined muscle disorders. In July 2026 the company sold sevasemten and its entire muscular dystrophy business to Servier for $1.55B upfront plus up to $1.1B in milestones, and is now singularly focused on its cardiovascular pipeline — EDG-7500 for hypertrophic cardiomyopathy (HCM) in Phase 2 with Phase 3 initiation targeted Q4 2026, and EDG-15400 for heart failure with preserved ejection fraction (HFpEF). CEO Kevin Koch has led the company since 2017. Q1 2026 cash was $499.6M prior to the Servier proceeds.</w:t>
      </w:r>
    </w:p>
    <w:p>
      <w:r>
        <w:rPr>
          <w:rFonts w:ascii="Calibri" w:hAnsi="Calibri"/>
          <w:b/>
          <w:color w:val="6E8450"/>
          <w:sz w:val="18"/>
        </w:rPr>
        <w:t>127 Employees · https://edgewisetx.com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$1.55B upfront sale of sevasemten and the entire muscular dystrophy franchise to Servier, closed July 2026, is a significant strategic pivot that converted a clinical-stage pipeline asset into a ~$2.01B pro forma cash balance and refocused the company entirely on cardiovascular disease — a transformative capital allocation decision [1]. AI Deployment (0/2): No evidence of AI-driven drug discovery or AI-enabled R&amp;D tools in company disclosures, though the company is actively hiring a Director of AI, indicating early-stage investment [3]. Market Share (0/2): Pre-commercial company with no approved products and no market share. Product Pipeline (2/2): EDG-7500 posted positive Phase 2 CIRRUS-HCM data with Phase 3 initiation guided for Q4 2026, EDG-15400 completed Phase 1 with Phase 2 launch expected H2 2026, and Becker muscular dystrophy data from the sevasemten program is expected Q4 2026 (milestone revenue potential) — all with specific, near-term dated milestones [1][2]. R&amp;D Intensity (1/1): Q2 2026 R&amp;D spend of $47.5M (up from $33.6M YoY) against zero revenue represents R&amp;D intensity far above industry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Edgewise brands itself 'A Movement in Muscle,' committed to developing medicines for people facing serious cardiovascular diseases with unmet needs — a clear, patient-focused statement that informs pipeline decisions but reads as fairly standard biotech language rather than a distinctively differentiated purpose [3]. Community Impact (0/2): No evidence found of charitable giving, foundation activity, or community investment programs. Employee Retention (0/2): No tenure or turnover data is publicly available for the 127-person organization, though CEO Kevin Koch's 9-year tenure since 2017 and co-founder Alan Russell's continued role as CSO suggest leadership stability. Insider Buying (0/2): No evidence of net insider buying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only — EWTX is pre-revenue, so Revenue Growth YoY/5yr CAGR, Forward P/E (negative at -21.66), Forward PEG, and Profit Margin are all either null, negative, or not applicable and excluded from the calculation. Debt-to-Equity is negligible at 0.80% ($3.59M debt vs. equity base), scoring a capped 1.0 at 1x weight [4]. Return on Equity is deeply negative at -38.03% (TTM net loss against equity base), scoring 0.0 at its 2x weight for growth stocks. Weighted sum = (1x1.0) + (2x0.0) = 1.0 of a possible 3.0, yielding Infrastructure = 3. The company's most distinctive financial attribute — a fortress ~$2.01B pro forma cash position post-Servier deal with virtually no debt — is not directly captured by profitability-oriented metrics [1]. Liquidity floor cleared: 1.29M avg daily volume x $39.34 = ~$50.8M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Edgewise shows genuine existential flexibility — walking away from the muscular dystrophy business that was its founding identity in order to concentrate capital and management attention on cardiovascular disease — and leadership stability (CEO Koch since 2017, CSO Russell as co-founder). But the company is too young and too thinly documented on culture and competitive philosophy to earn top marks across the board. The Servier transaction reads as a disciplined, cause-aligned capital allocation decision rather than desperation, which is the strongest infinite-game signal.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Edgewise's purpose — developing precision medicines for serious diseases with unmet needs, now sharpened to cardiovascular muscle disease — is genuine and traceable through its pipeline choices (EDG-7500, EDG-15400), but the company is only nine years old and its cause has not yet been tested across a full market cycle or leadership transition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Kevin Koch's 9-year tenure since founding and co-founder Alan Russell's continued presence as CSO suggest leadership continuity and stability. The company fosters a culture of 'technology understanding, innovation, inclusion, and agility' [3]. No red flags or reports of layoffs, but no positive evidence of exceptional psychological safety, tenure, or employee empowerment was found for the 127-person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competitive commentary from management was found — Edgewise's public communications focus entirely on its own clinical data and strategic focus rather than framing progress relative to rivals, so no credit can be given either way.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Selling sevasemten and the entire muscular dystrophy franchise — the business the company was originally built around and branded with ('A Movement in Muscle') — to Servier for $1.55B upfront plus $1.1B in milestones, in order to concentrate entirely on the cardiovascular pipeline, is a textbook transformative pivot driven by strategic clarity rather than desperation; it was executed from a position of strength with a resulting ~$2.01B pro forma cash balance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the company's namesake muscle-disease franchise — walking away from sevasemten with real clinical progress in Duchenne/Becker muscular dystrophy — to sharpen focus on cardiovascular disease is a costly, non-obvious decision that required conviction in the narrower cardiovascular thesis over the diversified pipeline approach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Edgewise enters Q4 2026 fundamentally transformed: the $1.55B upfront (plus up to $1.1B in milestones) sale of sevasemten and the muscular dystrophy business to Servier delivered a pro forma cash balance of roughly $2.01B, giving the company multi-year runway to advance a purely cardiovascular pipeline without near-term financing risk [1]. EDG-7500 posted positive Phase 2 CIRRUS-HCM data with Phase 3 initiation targeted for Q4 2026, and EDG-15400 for HFpEF is set to enter Phase 2 in H2 2026 — both near-term, dated catalysts in indications (HCM, HFpEF) with large unmet need and strong historical precedent for biotech re-ratings on positive Phase 3 data [1][2]. CEO Kevin Koch's 9-year tenure provides strategic continuity, and the D/E ratio of 0.80% with a fortress cash position creates financial safety rare among clinical-stage biotechs.</w:t>
      </w:r>
    </w:p>
    <w:p>
      <w:pPr>
        <w:spacing w:after="120"/>
      </w:pPr>
      <w:r>
        <w:rPr>
          <w:rFonts w:ascii="Calibri" w:hAnsi="Calibri"/>
          <w:b w:val="0"/>
          <w:color w:val="3A4A28"/>
          <w:sz w:val="20"/>
        </w:rPr>
        <w:t>The bear case is straightforward: EWTX is pre-revenue with a widening net loss ($57.3M in Q2 2026 vs. $36.1M a year earlier) and its entire value now rests on two unapproved cardiovascular assets clearing Phase 3 and FDA review — a binary, multi-year bet with no diversification cushion following the sevasemten divestiture [1]. The stock has declined from $44+ to $39.34, and the $4.27B market cap must be supported entirely by the cardiovascular pipeline's success. No meaningful insider buying evidence was found, Sustainalytics rates ESG management as weak, and the mechanical Infrastructure score of 3 (driven by negative ROE at 2x weight against a low D/E) does not capture the strong cash position. Any Phase 3 delay, safety signal, or FDA setback on EDG-7500 would remove the primary catalyst underpinning the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EDG-7500 Phase 3 initiation for hypertrophic cardiomyopathy targeted for Q4 2026, building on positive Phase 2 CIRRUS-HCM data — the single most important near-term value driver [1]</w:t>
      </w:r>
    </w:p>
    <w:p>
      <w:pPr>
        <w:spacing w:before="40" w:after="40"/>
        <w:ind w:left="283"/>
      </w:pPr>
      <w:r>
        <w:rPr>
          <w:rFonts w:ascii="Calibri" w:hAnsi="Calibri"/>
          <w:b/>
          <w:color w:val="4A6B25"/>
          <w:sz w:val="20"/>
        </w:rPr>
        <w:t xml:space="preserve">2. </w:t>
      </w:r>
      <w:r>
        <w:rPr>
          <w:rFonts w:ascii="Calibri" w:hAnsi="Calibri"/>
          <w:b w:val="0"/>
          <w:color w:val="3A4A28"/>
          <w:sz w:val="20"/>
        </w:rPr>
        <w:t>EDG-15400 Phase 2 launch for HFpEF expected in H2 2026, expanding the cardiovascular pipeline into a second large indication with significant unmet need [1]</w:t>
      </w:r>
    </w:p>
    <w:p>
      <w:pPr>
        <w:spacing w:before="40" w:after="40"/>
        <w:ind w:left="283"/>
      </w:pPr>
      <w:r>
        <w:rPr>
          <w:rFonts w:ascii="Calibri" w:hAnsi="Calibri"/>
          <w:b/>
          <w:color w:val="4A6B25"/>
          <w:sz w:val="20"/>
        </w:rPr>
        <w:t xml:space="preserve">3. </w:t>
      </w:r>
      <w:r>
        <w:rPr>
          <w:rFonts w:ascii="Calibri" w:hAnsi="Calibri"/>
          <w:b w:val="0"/>
          <w:color w:val="3A4A28"/>
          <w:sz w:val="20"/>
        </w:rPr>
        <w:t>Deployment of the ~$2.01B pro forma cash balance from the Servier transaction into accelerated cardiovascular development, potential pipeline in-licensing, or strategic partnerships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clinical/regulatory risk concentrated in two unapproved cardiovascular assets following the divestiture of the muscular dystrophy franchise — no approved products, no revenue, and no diversification to fall back on [1]</w:t>
      </w:r>
    </w:p>
    <w:p>
      <w:pPr>
        <w:spacing w:before="40" w:after="40"/>
        <w:ind w:left="283"/>
      </w:pPr>
      <w:r>
        <w:rPr>
          <w:rFonts w:ascii="Calibri" w:hAnsi="Calibri"/>
          <w:b/>
          <w:color w:val="4A6B25"/>
          <w:sz w:val="20"/>
        </w:rPr>
        <w:t xml:space="preserve">2. </w:t>
      </w:r>
      <w:r>
        <w:rPr>
          <w:rFonts w:ascii="Calibri" w:hAnsi="Calibri"/>
          <w:b w:val="0"/>
          <w:color w:val="3A4A28"/>
          <w:sz w:val="20"/>
        </w:rPr>
        <w:t>Widening net losses ($57.3M in Q2 2026 vs. $36.1M a year ago, $197M+ TTM) mean sustained cash burn even against a strong balance sheet, and post-Servier strategic focus narrows the margin for error [1]</w:t>
      </w:r>
    </w:p>
    <w:p>
      <w:pPr>
        <w:spacing w:before="40" w:after="40"/>
        <w:ind w:left="283"/>
      </w:pPr>
      <w:r>
        <w:rPr>
          <w:rFonts w:ascii="Calibri" w:hAnsi="Calibri"/>
          <w:b/>
          <w:color w:val="4A6B25"/>
          <w:sz w:val="20"/>
        </w:rPr>
        <w:t xml:space="preserve">3. </w:t>
      </w:r>
      <w:r>
        <w:rPr>
          <w:rFonts w:ascii="Calibri" w:hAnsi="Calibri"/>
          <w:b w:val="0"/>
          <w:color w:val="3A4A28"/>
          <w:sz w:val="20"/>
        </w:rPr>
        <w:t>Sustainalytics ESG risk rating of 'Weak' and no evidence of AI-augmented discovery capability relative to larger biotech/pharma competitors investing heavily in AI-driven drug development platforms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Edgewise's core business — clinical trial execution, FDA regulatory approval, and eventual manufacturing of small-molecule cardiovascular therapies — is structurally protected from AI substitution; no analyst commentary was found suggesting AI threatens the company's clinical or regulatory path [1]. The main indirect risk is competitive: AI-augmented drug discovery platforms at larger rivals could compress time-to-market advantages industry-wide, but this is a sector-level dynamic rather than an EWTX-specific vulnerability. AI Opportunity (0/1): The company is hiring a Director of AI, indicating early investment, but has no AI-attributable revenue or shipping AI-powered tools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Edgewise Therapeutics Q2 2026 Financial Results — Net loss $57.3M, sevasemten sold to Servier for $1.55B upfront + $1.1B milestones (closed July 2026), EDG-7500 Phase 3 Q4 2026, EDG-15400 Phase 2 H2 2026</w:t>
      </w:r>
    </w:p>
    <w:p>
      <w:pPr>
        <w:spacing w:before="20" w:after="20"/>
        <w:ind w:left="170"/>
      </w:pPr>
      <w:r>
        <w:rPr>
          <w:rFonts w:ascii="Calibri" w:hAnsi="Calibri"/>
          <w:b/>
          <w:color w:val="4A6B25"/>
          <w:sz w:val="15"/>
        </w:rPr>
        <w:t xml:space="preserve">2. </w:t>
      </w:r>
      <w:r>
        <w:rPr>
          <w:rFonts w:ascii="Calibri" w:hAnsi="Calibri"/>
          <w:b w:val="0"/>
          <w:color w:val="3A4A28"/>
          <w:sz w:val="17"/>
        </w:rPr>
        <w:t>Edgewise Therapeutics Q1 2026 Financial Results — Cash $499.6M, EDG-7500 CIRRUS-HCM Phase 2 data positive, Becker data expected Q4 2026</w:t>
      </w:r>
    </w:p>
    <w:p>
      <w:pPr>
        <w:spacing w:before="20" w:after="20"/>
        <w:ind w:left="170"/>
      </w:pPr>
      <w:r>
        <w:rPr>
          <w:rFonts w:ascii="Calibri" w:hAnsi="Calibri"/>
          <w:b/>
          <w:color w:val="4A6B25"/>
          <w:sz w:val="15"/>
        </w:rPr>
        <w:t xml:space="preserve">3. </w:t>
      </w:r>
      <w:r>
        <w:rPr>
          <w:rFonts w:ascii="Calibri" w:hAnsi="Calibri"/>
          <w:b w:val="0"/>
          <w:color w:val="3A4A28"/>
          <w:sz w:val="17"/>
        </w:rPr>
        <w:t>Edgewise Therapeutics Leadership and Culture — CEO Kevin Koch (since 2017), CSO Alan Russell (co-founder), hiring Director of AI, 127 employees, 'A Movement in Muscle' brand</w:t>
      </w:r>
    </w:p>
    <w:p>
      <w:pPr>
        <w:spacing w:before="20" w:after="20"/>
        <w:ind w:left="170"/>
      </w:pPr>
      <w:r>
        <w:rPr>
          <w:rFonts w:ascii="Calibri" w:hAnsi="Calibri"/>
          <w:b/>
          <w:color w:val="4A6B25"/>
          <w:sz w:val="15"/>
        </w:rPr>
        <w:t xml:space="preserve">4. </w:t>
      </w:r>
      <w:r>
        <w:rPr>
          <w:rFonts w:ascii="Calibri" w:hAnsi="Calibri"/>
          <w:b w:val="0"/>
          <w:color w:val="3A4A28"/>
          <w:sz w:val="17"/>
        </w:rPr>
        <w:t>Yahoo Finance — EWTX Key Statistics: Price $39.34, D/E 0.80%, ROE -38.03%, Market Cap $4.27B, Avg Volume 1.29M,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