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EW</w:t>
      </w:r>
      <w:r>
        <w:rPr>
          <w:rFonts w:ascii="Calibri" w:hAnsi="Calibri"/>
          <w:b/>
          <w:color w:val="1A2010"/>
          <w:sz w:val="40"/>
        </w:rPr>
        <w:t xml:space="preserve">  Edwards Lifesciences Corporation</w:t>
      </w:r>
    </w:p>
    <w:p>
      <w:pPr>
        <w:spacing w:after="120"/>
      </w:pPr>
      <w:r>
        <w:rPr>
          <w:rFonts w:ascii="Calibri" w:hAnsi="Calibri"/>
          <w:b/>
          <w:color w:val="6E8450"/>
          <w:sz w:val="18"/>
        </w:rPr>
        <w:t>GROWTH SLEEVE · 2026-10-21 · Inspire: 57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Edwards Lifesciences designs, manufactures, and markets medical devices for structural heart disease, including transcatheter aortic valve replacement (TAVR), transcatheter mitral and tricuspid therapies (TMTT), and surgical structural heart solutions. Founded in 1958 and headquartered in Irvine, California, Edwards is the undisputed global leader in TAVR with the SAPIEN platform. Q2 2026 revenue grew 13.6% YoY to $1.74B, with TAVR sales of approximately $1.26B (+11%), and management raised FY2026 constant-currency sales growth guidance to 10-11% and TAVR growth to 8-9% [1]. The company holds $4.3B in cash against $704M in debt, one of the cleanest balance sheets in medtech.</w:t>
      </w:r>
    </w:p>
    <w:p>
      <w:r>
        <w:rPr>
          <w:rFonts w:ascii="Calibri" w:hAnsi="Calibri"/>
          <w:b/>
          <w:color w:val="6E8450"/>
          <w:sz w:val="18"/>
        </w:rPr>
        <w:t>16,000 Employees · https://www.edwards.com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Edwards pioneered transcatheter aortic valve replacement (TAVR) — the most consequential cardiovascular innovation in decades — and has executed serial product generation advances from the original SAPIEN valve through SAPIEN 3 Ultra with enhanced sealing. The company launched the EVOQUE tricuspid replacement system, creating an entirely new treatment category for tricuspid regurgitation, and the PASCAL platform for mitral repair [1][2]. The 2024 Critical Care divestiture demonstrated willingness to shed a profitable business ($800M+ annual revenue) to sharpen focus on structural heart innovation. Q2 2026 TAVR sales of $1.26B (+11%) and raised TMTT guidance confirm continued execution [1]. AI Deployment (1/2): Edwards hired Parminder Bhatia (previously Chief AI Officer at GE HealthCare) as SVP of AI in July 2026, with a mandate to accelerate AI adoption across the enterprise including agentic AI, computer vision, and clinical operations [3]. Multiple AI roles are being filled, but no AI products are shipping or generating revenue yet. Market Share (2/2): Edwards commands dominant global share in the TAVR market — the largest and fastest-growing segment of structural heart intervention — with the SAPIEN platform as the gold standard [1]. A competitor's TAVR recall further solidified Edwards' market leadership position. Product Pipeline (2/2): TMTT segment guidance raised to imply 35-45% growth for FY2026 (EVOQUE tricuspid expanding indications, PASCAL mitral advancing), TAVR guidance raised to 8-9%, and new 7-year clinical durability data published for SAPIEN — all with specific revenue visibility [1][2]. R&amp;D Intensity (1/1): Edwards invests approximately 17% of revenue in R&amp;D — more than double the medtech industry average of 6-8% — demonstrating sustained commitment to frontier structural heart innovation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Edwards' purpose — transforming care for structural heart patients — is specific, deeply embedded in product decisions, and has guided the company since Miles 'Lowell' Edwards founded it in 1958 [4]. CEO Bernard Zovighian describes the mission as 'engineering hope,' building on predecessor Mike Mussallem's 23-year legacy of patient-centered culture [5]. The purpose has survived 68 years, a founder's era, the Mussallem transformation era, and the Zovighian succession. The company's Patient Day program, where heart valve recipients meet the engineers who built their devices, demonstrates the mission is genuinely lived. Falls short of a 4 because the cause has not yet been tested through deep crisis under current leadership. Community Impact (1/2): Edwards earned Ethisphere's World's Most Ethical Companies designation and DJSI ESG North America Index membership, and publishes annual sustainability reports with GHG assurance [6]. The Patient Day program creates tangible human connection between engineering work and patient outcomes. Employee Retention (1/2): Mussallem's 23-year CEO tenure and smooth succession to Zovighian in 2023 demonstrate organizational stability and deliberate succession planning [4][5]. The 16,000-employee workforce has maintained operational continuity through the leadership transition and Critical Care spinoff. Insider Buying (0/2): Insiders hold only 0.195% of shares, and no evidence of meaningful net insider buying by CEO Zovighian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exceptional balance sheet strength. D/E of just 6.6% scores 1.0 — one of the cleanest balance sheets in all of medtech with $4.3B cash against only $704M debt [1]. ROE of 9.2% scores 0.61 (2x weight) — depressed by GAAP distortions from the 2024 Critical Care divestiture and large cash balance diluting returns [1]. Revenue growth YoY of 13.6% (Q2 2026) scores 1.0, with FY2025 having grown 11.5% and FY2026 guidance raised to 10-11% constant currency [1][2]. Estimated 5-year revenue CAGR of approximately 9% (structural heart continuing operations, 2020-2025) scores 0.93 (2x weight) [1]. Forward P/E of 26.1x scores 0.85, reflecting premium medtech valuation justified by structural heart growth [1]. Profit margin of 15.4% scores 0.77, temporarily depressed below historical ~28% levels due to GAAP distortions from the Critical Care divestiture gain in prior period and TMTT scaling investment. Forward PEG of 1.85 scores 0.58 (2x weight). Weighted sum: 7.62/10 x 10 = 7.6, rounded to 8. Liquidity: $324M daily dollar volume ($88.29 x 3.67M)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Edwards Lifesciences is among the strongest infinite game players in medtech. The company has been singularly focused on structural heart disease since 1958 — 68 years of consistent purpose through the founder's era, Mike Mussallem's transformative 23-year tenure, and Bernard Zovighian's succession. The willingness to disrupt its own surgical valve business by pioneering transcatheter TAVR, and then to spin off the profitable Critical Care division to sharpen structural heart focus, demonstrates existential flexibility in service of a durable Just Cause. R&amp;D investment at 17% of revenue (double the industry average) through years of TMTT pre-profitability exemplifies courage to lead. The Patient Day program and 'engineering hope' culture create organizational meaning beyond financial metrics [1][4][5].</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Edwards' purpose — transforming care for structural heart patients to help them live longer, healthier lives — has been validated by 68 years of consistent execution across three leadership eras (founder Edwards, CEO Mussallem 2000-2023, CEO Zovighian 2023-present) [4][5]. The cause has survived leadership transitions and has shaped every major strategic decision: pioneering TAVR disrupted Edwards' own profitable surgical valve business, the Critical Care spinoff sacrificed $800M+ in annual revenue to sharpen structural heart focus, and 17% R&amp;D investment reflects cause-driven resource allocation. The Patient Day program — where valve recipients meet their engineers — proves the cause is lived at an operational level, not merely stated. Sinek would cite Edwards as an example of a Just Cause that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23-year Mussallem tenure created deep organizational stability, and the deliberate succession to Zovighian (who served as president before becoming CEO in 2023) signals mature succession planning [4][5]. The 16,000-employee organization maintained operational continuity through the leadership transition and Critical Care spinoff. However, some post-transition cultural friction has been reported, and the company is still proving its organizational resilience under new leadership. The 'engineering hope' and Patient Day culture provide mission-driven cohesion.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Edwards acknowledges Medtronic's Evolut platform and other competitors' strengths, using competitive pressure to improve its own TAVR technology through successive SAPIEN generations and published 7-year durability data [1][2]. Management's language focuses on expanding the overall structural heart market and improving patient outcomes rather than destroying competitors — the TMTT investment was inspired by rivals' mitral valve approaches as motivation to build a better platform [5].</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Edwards has fundamentally reinvented itself twice in service of its Just Cause. First, the transition from surgical heart valves to transcatheter TAVR disrupted the company's own core business — surgical valves were profitable and proven, but TAVR represented the future of structural heart care [1][2]. Second, the 2024 Critical Care divestiture abandoned a stable, profitable business line to double down exclusively on structural heart innovation. Both pivots were driven by the cause (advancing structural heart care) rather than desperation, and both required sacrificing near-term revenue certainty for long-term category leadership.</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Edwards demonstrates a pattern of costly long-term bets: investing 17% of revenue in R&amp;D (double industry average) sustained through years of TMTT pre-profitability, spinning off the profitable Critical Care business ($800M+ annual revenue) to maintain structural heart focus, and pioneering TAVR knowing it would cannibalize the company's own surgical valve franchise [1][2]. The hiring of a GE HealthCare Chief AI Officer as SVP represents forward-leaning investment in AI capabilities before the technology directly impacts the structural heart market [3]. These are not one-time decisions but a sustained pattern of choosing long-term capability over short-term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Edwards Lifesciences is the undisputed global leader in transcatheter aortic valve replacement (TAVR) and is building a powerful second growth engine in TMTT. Q2 2026 delivered revenue of $1.74B (+13.6% YoY) with TAVR sales of $1.26B (+11%), and management raised FY2026 guidance to 10-11% constant-currency growth with TAVR guidance raised to 8-9% [1]. At $88.29 and 26.1x forward adjusted EPS ($2.95-$3.05 guidance), EW offers a reasonable entry for a dominant medtech franchise with multi-decade structural heart growth tailwinds. A pristine balance sheet (D/E 6.6%, $4.3B cash vs $704M debt), R&amp;D investment at 17% of revenue, the hiring of a dedicated SVP of AI from GE HealthCare, and TMTT's expansion trajectory create a visible long-duration growth story [1][3]. International markets at approximately 60% of revenue remain under-penetrated for both TAVR and TMTT, with a competitor's TAVR recall further strengthening Edwards' market position. The ALIGNED Inspire Impact Score (57) with 14 positive attributions and no negatives supports faith-based allocation [2].</w:t>
      </w:r>
    </w:p>
    <w:p>
      <w:pPr>
        <w:spacing w:after="120"/>
      </w:pPr>
      <w:r>
        <w:rPr>
          <w:rFonts w:ascii="Calibri" w:hAnsi="Calibri"/>
          <w:b w:val="0"/>
          <w:color w:val="3A4A28"/>
          <w:sz w:val="20"/>
        </w:rPr>
        <w:t>The bear case centers on valuation, earnings distortion, and post-transition execution. GAAP EPS of $1.68 trailing includes the impact of the 2024 Critical Care divestiture, making the trailing P/E of 52.6x misleadingly elevated — adjusted FY2026 EPS guidance of $2.95-$3.05 puts the forward multiple at a more reasonable 26x-30x [1]. ROE of 9.2% is depressed by the $4.3B cash balance and GAAP distortions from the spinoff, but underlying operating returns are higher. Profit margin of 15.4% is well below the historical ~28% level due to TMTT scaling investment and prior-period divestiture comparisons. Forward PEG of 1.85x and forward P/E of 26x price in sustained high-single-digit to low-double-digit growth — any TAVR deceleration below the 8-9% guidance, TMTT scaling disappointment, or competitive surprise could trigger multiple compression [1]. The CEO transition from the deeply respected Mussallem to Zovighian in 2023 has introduced cultural uncertainty, and the animal testing involvement flagged in Yahoo Finance's ESG screens may concern some faith-based investors [5][6]. Q3 2026 revenue guidance of $1.63-$1.71B suggests a sequential deceleration that bears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TMTT segment on a 35-45% growth trajectory for FY2026 with EVOQUE tricuspid valve expanding indications and establishing Edwards as a multi-franchise structural heart leader with a second major growth engine targeting $2B by 2030 [1][2]</w:t>
      </w:r>
    </w:p>
    <w:p>
      <w:pPr>
        <w:spacing w:before="40" w:after="40"/>
        <w:ind w:left="283"/>
      </w:pPr>
      <w:r>
        <w:rPr>
          <w:rFonts w:ascii="Calibri" w:hAnsi="Calibri"/>
          <w:b/>
          <w:color w:val="4A6B25"/>
          <w:sz w:val="20"/>
        </w:rPr>
        <w:t xml:space="preserve">2. </w:t>
      </w:r>
      <w:r>
        <w:rPr>
          <w:rFonts w:ascii="Calibri" w:hAnsi="Calibri"/>
          <w:b w:val="0"/>
          <w:color w:val="3A4A28"/>
          <w:sz w:val="20"/>
        </w:rPr>
        <w:t>TAVR penetration into lower-risk and moderate-risk patient populations globally, with international markets at approximately 60% of revenue and significant under-penetration — raised FY2026 TAVR guidance to 8-9% growth bolstered by 7-year durability data [1]</w:t>
      </w:r>
    </w:p>
    <w:p>
      <w:pPr>
        <w:spacing w:before="40" w:after="40"/>
        <w:ind w:left="283"/>
      </w:pPr>
      <w:r>
        <w:rPr>
          <w:rFonts w:ascii="Calibri" w:hAnsi="Calibri"/>
          <w:b/>
          <w:color w:val="4A6B25"/>
          <w:sz w:val="20"/>
        </w:rPr>
        <w:t xml:space="preserve">3. </w:t>
      </w:r>
      <w:r>
        <w:rPr>
          <w:rFonts w:ascii="Calibri" w:hAnsi="Calibri"/>
          <w:b w:val="0"/>
          <w:color w:val="3A4A28"/>
          <w:sz w:val="20"/>
        </w:rPr>
        <w:t>SVP of AI hire from GE HealthCare (Parminder Bhatia) building enterprise AI strategy across agentic AI, computer vision, and clinical operations — long-term potential to accelerate device development, improve manufacturing, and enhance clinical decision support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26x and PEG of 1.85x price in sustained growth — TAVR deceleration below 8-9% guidance, TMTT scaling disappointment, or competitive disruption from Medtronic or Abbott could trigger significant multiple compression from premium valuation [1]</w:t>
      </w:r>
    </w:p>
    <w:p>
      <w:pPr>
        <w:spacing w:before="40" w:after="40"/>
        <w:ind w:left="283"/>
      </w:pPr>
      <w:r>
        <w:rPr>
          <w:rFonts w:ascii="Calibri" w:hAnsi="Calibri"/>
          <w:b/>
          <w:color w:val="4A6B25"/>
          <w:sz w:val="20"/>
        </w:rPr>
        <w:t xml:space="preserve">2. </w:t>
      </w:r>
      <w:r>
        <w:rPr>
          <w:rFonts w:ascii="Calibri" w:hAnsi="Calibri"/>
          <w:b w:val="0"/>
          <w:color w:val="3A4A28"/>
          <w:sz w:val="20"/>
        </w:rPr>
        <w:t>GAAP earnings heavily distorted by FY2024 Critical Care divestiture gains — trailing P/E of 52.6x, ROE of 9.2%, and profit margin of 15.4% obscure the underlying business trajectory and complicate fundamental analysis [1]</w:t>
      </w:r>
    </w:p>
    <w:p>
      <w:pPr>
        <w:spacing w:before="40" w:after="40"/>
        <w:ind w:left="283"/>
      </w:pPr>
      <w:r>
        <w:rPr>
          <w:rFonts w:ascii="Calibri" w:hAnsi="Calibri"/>
          <w:b/>
          <w:color w:val="4A6B25"/>
          <w:sz w:val="20"/>
        </w:rPr>
        <w:t xml:space="preserve">3. </w:t>
      </w:r>
      <w:r>
        <w:rPr>
          <w:rFonts w:ascii="Calibri" w:hAnsi="Calibri"/>
          <w:b w:val="0"/>
          <w:color w:val="3A4A28"/>
          <w:sz w:val="20"/>
        </w:rPr>
        <w:t>Post-CEO-transition cultural integration risk — Zovighian's 'engineering hope' vision must translate into sustained innovation velocity at a company where 68 years of mission-driven culture is its deepest competitive advantage, and early reports suggest some friction in the transition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Edwards' core business — designing, manufacturing, and implanting physical heart valves via catheter-based procedures — is fundamentally immune to AI disruption [1]. TAVR and TMTT require physical devices, interventional cardiologists, catheterization labs, and FDA-regulated manufacturing that AI cannot substitute. The structural heart market is expanding as TAVR penetrates lower-risk patient populations globally, and AI-driven diagnostics may actually increase detection of aortic stenosis and valve disease, expanding Edwards' addressable market. Regulatory barriers (FDA PMA approval, multi-year clinical trials) create deep moats that AI cannot bypass. A competitor's TAVR recall demonstrates the physical-world quality and safety requirements that protect incumbents. The only downgrade from IMMUNE is that AI could potentially accelerate competing device development timelines, though the clinical trial requirement remains a structural barrier [1][6]. AI Opportunity (0/1): While Edwards hired Parminder Bhatia as SVP of AI (from GE HealthCare's Chief AI Officer role) and is building an enterprise AI strategy, no quantifiable AI revenue has been generated yet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Edwards Lifesciences Q2 2026 8-K — Revenue $1.74B (+13.6% YoY), TAVR $1.26B (+11%), Raised FY2026 Guidance to 10-11% Constant Currency, TAVR 8-9%, Adjusted EPS $2.95-$3.05, SEC Filing, July 2026</w:t>
      </w:r>
    </w:p>
    <w:p>
      <w:pPr>
        <w:spacing w:before="20" w:after="20"/>
        <w:ind w:left="170"/>
      </w:pPr>
      <w:r>
        <w:rPr>
          <w:rFonts w:ascii="Calibri" w:hAnsi="Calibri"/>
          <w:b/>
          <w:color w:val="4A6B25"/>
          <w:sz w:val="15"/>
        </w:rPr>
        <w:t xml:space="preserve">2. </w:t>
      </w:r>
      <w:r>
        <w:rPr>
          <w:rFonts w:ascii="Calibri" w:hAnsi="Calibri"/>
          <w:b w:val="0"/>
          <w:color w:val="3A4A28"/>
          <w:sz w:val="17"/>
        </w:rPr>
        <w:t>Edwards Lifesciences Q1 2026 8-K — Revenue $1.65B (+16.7%), TAVR +14.4%, FY2025 Sales Grew 11.5%, Q4 2025 Results and FY2026 Initial Guidance, SEC Filings, 2026</w:t>
      </w:r>
    </w:p>
    <w:p>
      <w:pPr>
        <w:spacing w:before="20" w:after="20"/>
        <w:ind w:left="170"/>
      </w:pPr>
      <w:r>
        <w:rPr>
          <w:rFonts w:ascii="Calibri" w:hAnsi="Calibri"/>
          <w:b/>
          <w:color w:val="4A6B25"/>
          <w:sz w:val="15"/>
        </w:rPr>
        <w:t xml:space="preserve">3. </w:t>
      </w:r>
      <w:r>
        <w:rPr>
          <w:rFonts w:ascii="Calibri" w:hAnsi="Calibri"/>
          <w:b w:val="0"/>
          <w:color w:val="3A4A28"/>
          <w:sz w:val="17"/>
        </w:rPr>
        <w:t>CDO Magazine — Parminder Bhatia Appointed SVP AI at Edwards Lifesciences, Previously Chief AI Officer at GE HealthCare, Enterprise AI Strategy and Transformation Mandate, July 2026</w:t>
      </w:r>
    </w:p>
    <w:p>
      <w:pPr>
        <w:spacing w:before="20" w:after="20"/>
        <w:ind w:left="170"/>
      </w:pPr>
      <w:r>
        <w:rPr>
          <w:rFonts w:ascii="Calibri" w:hAnsi="Calibri"/>
          <w:b/>
          <w:color w:val="4A6B25"/>
          <w:sz w:val="15"/>
        </w:rPr>
        <w:t xml:space="preserve">4. </w:t>
      </w:r>
      <w:r>
        <w:rPr>
          <w:rFonts w:ascii="Calibri" w:hAnsi="Calibri"/>
          <w:b w:val="0"/>
          <w:color w:val="3A4A28"/>
          <w:sz w:val="17"/>
        </w:rPr>
        <w:t>Health Evolution — CEO Mike Mussallem on Innovation, Ethics, and Patient-Centered Culture, Edwards' Patient Day Program, 68-Year Structural Heart Focus, 2025</w:t>
      </w:r>
    </w:p>
    <w:p>
      <w:pPr>
        <w:spacing w:before="20" w:after="20"/>
        <w:ind w:left="170"/>
      </w:pPr>
      <w:r>
        <w:rPr>
          <w:rFonts w:ascii="Calibri" w:hAnsi="Calibri"/>
          <w:b/>
          <w:color w:val="4A6B25"/>
          <w:sz w:val="15"/>
        </w:rPr>
        <w:t xml:space="preserve">5. </w:t>
      </w:r>
      <w:r>
        <w:rPr>
          <w:rFonts w:ascii="Calibri" w:hAnsi="Calibri"/>
          <w:b w:val="0"/>
          <w:color w:val="3A4A28"/>
          <w:sz w:val="17"/>
        </w:rPr>
        <w:t>NYSE Podcast — CEO Bernard Zovighian on Engineering Hope, Purpose-Driven Leadership, Building on Mussallem Legacy, Structural Heart Category Leadership, 2026</w:t>
      </w:r>
    </w:p>
    <w:p>
      <w:pPr>
        <w:spacing w:before="20" w:after="20"/>
        <w:ind w:left="170"/>
      </w:pPr>
      <w:r>
        <w:rPr>
          <w:rFonts w:ascii="Calibri" w:hAnsi="Calibri"/>
          <w:b/>
          <w:color w:val="4A6B25"/>
          <w:sz w:val="15"/>
        </w:rPr>
        <w:t xml:space="preserve">6. </w:t>
      </w:r>
      <w:r>
        <w:rPr>
          <w:rFonts w:ascii="Calibri" w:hAnsi="Calibri"/>
          <w:b w:val="0"/>
          <w:color w:val="3A4A28"/>
          <w:sz w:val="17"/>
        </w:rPr>
        <w:t>Sustainalytics/Yahoo Finance — Edwards Lifesciences ESG Risk Score 18.6 (Low Risk), Controversy Level 1, Ethisphere Most Ethical Companies, Animal Testing Involvement Flagged,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