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EXK</w:t>
      </w:r>
      <w:r>
        <w:rPr>
          <w:rFonts w:ascii="Calibri" w:hAnsi="Calibri"/>
          <w:b/>
          <w:color w:val="1A2010"/>
          <w:sz w:val="40"/>
        </w:rPr>
        <w:t xml:space="preserve">  Endeavour Silver Corp</w:t>
      </w:r>
    </w:p>
    <w:p>
      <w:pPr>
        <w:spacing w:after="120"/>
      </w:pPr>
      <w:r>
        <w:rPr>
          <w:rFonts w:ascii="Calibri" w:hAnsi="Calibri"/>
          <w:b/>
          <w:color w:val="6E8450"/>
          <w:sz w:val="18"/>
        </w:rPr>
        <w:t>GROWTH SLEEVE · 2026-10-04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Silver · NYSE · Canada</w:t>
      </w:r>
    </w:p>
    <w:p>
      <w:pPr>
        <w:spacing w:after="80"/>
      </w:pPr>
      <w:r>
        <w:rPr>
          <w:rFonts w:ascii="Calibri" w:hAnsi="Calibri"/>
          <w:b w:val="0"/>
          <w:color w:val="3A4A28"/>
          <w:sz w:val="20"/>
        </w:rPr>
        <w:t>Endeavour Silver Corp is a mid-tier precious metals mining company operating three mines in Mexico and Peru. The company transformed from a two-mine operator into a three-mine producer following the Terronera commissioning (October 2025) and Kolpa acquisition (May 2025). H1 2026 delivered $421.8M revenue and $131.4M net earnings versus losses in H1 2025. Q2 2026: revenue $212.1M (+150% YoY), net earnings $66.5M, mine operating cash flow $99.9M (+336%). Production guidance for 2026: 14.6-15.6M silver-equivalent ounces. TTM revenue approximately $737M. Market cap ~$2.5B.</w:t>
      </w:r>
    </w:p>
    <w:p>
      <w:r>
        <w:rPr>
          <w:rFonts w:ascii="Calibri" w:hAnsi="Calibri"/>
          <w:b/>
          <w:color w:val="6E8450"/>
          <w:sz w:val="18"/>
        </w:rPr>
        <w:t>2,160 Employees · https://www.edrsilver.com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Endeavour Silver successfully commissioned the Terronera mine (commercial production October 2025) and completed the Kolpa acquisition (May 2025), transforming from a two-mine to a three-mine operator with 30%+ production growth [1]. Q2 2026 production reached 1.94M oz silver (+31% YoY) and 10,474 oz gold (+35% YoY), with revenue surging 150% to $212.1M. H1 2026 revenue of $421.8M and $131.4M net earnings validate the transformation. AI Deployment (0/2): No AI products or quantified AI-driven operational improvements reported. The company addresses AI as part of cybersecurity and governance oversight but has not deployed AI for revenue generation or measurable efficiency gains [2]. Market Share (1/2): Mid-tier silver producer gaining meaningful scale — production guidance of 14.6-15.6M silver-equivalent ounces for 2026 positions EXK as a growing player, though still smaller than Pan American Silver (~20M oz) or First Majestic Silver (~10M oz) [1]. Product Pipeline (1/2): Terronera continues ramping to full nameplate capacity through 2026, with AISC optimization expected to drive further margin expansion. 2026 production guidance provides clear near-term visibility. Kolpa integration proceeding [1]. R&amp;D Intensity (1/1): The $350M+ Terronera development and ongoing exploration programs represent above-average capital deployment for a company this size, demonstrating commitment to growth over cash conservation.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Endeavour Silver's stated purpose is to 'find, build and operate quality silver mines in responsible ways that create value for all stakeholders' [2]. This is a functional description of activities rather than a transformative or enduring purpose — interchangeable with any mid-tier mining company's mission statement. Community Impact (1/2): Operations in Mexico and Peru involve community engagement, local employment, and environmental stewardship. The company applies a 'sustainability barometer' to operations and has reported under GRI framework for multiple consecutive years [3]. Meaningful local impact but not distinctive relative to mining peers. Employee Retention (1/2): Luis Castro's promotion to COO after 22 years at the company demonstrates internal loyalty and career development [2]. The company managed 2,160 employees across international operations through significant organizational expansion without major labor disruptions. Average retention without standout data. Insider Buying (0/2): No evidence of meaningful net insider buying by CEO Dan Dickson or other executives in the last 12 months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(PEG excluded due to null). TTM metrics have now transitioned positive as profitable 2026 quarters replace loss-making 2025 quarters. D/E of 34.8% scores 1.0 (1x weight) — conservative leverage for a miner that completed a major mine build with $243M cash against $248M debt [4]. ROE of 10.58% scores 0.71 (2x weight) — positive and improving but below the 15% target as the transformation matures. Revenue growth YoY of 139.4% scores 1.0 (1x weight), driven by Terronera and Kolpa contributions [1]. 5-year revenue CAGR of approximately 30% scores 1.0 (2x weight) — $210M in 2022 to $468M in 2025 with TTM now at $737M. Forward P/E of 6.98x scores 1.0 (1x weight), reflecting significant expected profitability as Terronera ramps to full capacity. Profit margin of 8.91% scores 0.45 (1x weight) — positive but below the 20% target, typical for a mining operation with high COGS. Weighted sum: 6.86/8.0 = 9. Liquidity floor cleared with ~$67.5M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Endeavour Silver shows mixed infinite game signals. Management demonstrated exceptional courage in committing $350M+ to build Terronera and acquiring Kolpa to diversify the production base during volatile silver markets — genuinely bold capital allocation for a company this size. The orderly leadership transition with internal promotion of 22-year veteran Luis Castro to COO suggests organizational trust. However, the company lacks a distinctive Just Cause beyond standard mining operations, the mining industry's extractive nature limits the infinite game ceiling, and competitive language remains production-volume and cost-curve oriented rather than improvement-focused.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EXK operates as a silver mining company focused on building production capacity and creating stakeholder value. The articulated purpose — 'find, build and operate quality silver mines in responsible ways' — is functional and operational rather than aspirational [2]. CEO Dan Dickson emphasizes profitability, safety, and ESG principles, which are operational priorities rather than a Just Cause that shapes transformative strategic decisions and inspires sacrifice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Internal promotion of 22-year veteran Luis Castro to COO upon Don Gray's retirement demonstrates a culture of career development and trust in institutional knowledge [2]. Managing 2,160 employees across international operations in Mexico and Peru through significant organizational expansion — commissioning Terronera and integrating Kolpa — without major labor disputes suggests functional team dynamics. However, limited external employee sentiment data prevents assessment of broader organizational trust at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in public communications. Mining industry discourse centers on production rankings, cost curves, AISC comparisons, and reserve size — metrics of winning rather than learning. EXK benchmarks against peers on production volumes and cost metrics without acknowledging where rivals like Pan American Silver or First Majestic Silver excel or using competitive pressure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Endeavour Silver evolved from a small two-mine operator to a diversified three-mine producer across Mexico and Peru through Terronera development and Kolpa acquisition [1]. The company adapted its strategy as legacy mines aged — selling Bolañitos and investing in new production capacity rather than managing decline. Geographic diversification from Mexico-only to Mexico-Peru operations shows willingness to evolve. However, these are incremental expansions within the same business model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Management demonstrated exceptional courage committing $350M+ to build Terronera during volatile silver markets, acquiring Kolpa to diversify geographically, and selling the underperforming Bolañitos mine for a $35.6M gain [1]. The Terronera investment was larger than the company's entire market cap when the decision was made — a transformative bet on long-term production capacity over short-term financial safety. H1 2026 results ($131.4M net earnings, 336% cash flow growth) validate this courage, demonstrating the investments are delivering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Endeavour Silver has completed a dramatic profitability inflection with TTM metrics now fully positive. H1 2026 delivered $421.8M revenue and $131.4M net earnings versus losses in H1 2025, driven by the Terronera commissioning and Kolpa acquisition [1]. Q2 2026 results were exceptional: revenue $212.1M (+150% YoY), net earnings $66.5M, mine operating cash flow $99.9M (+336%). At a forward P/E of just 6.98x, the stock is deeply discounted relative to emerging profitability as Terronera ramps to full capacity. D/E of 34.8% is conservative for a miner with $243M cash. Revenue growth of 139% YoY and 30%+ 5-year CAGR demonstrate genuine transformation. Silver's dual role as precious metal and critical industrial input for solar panels, electronics, and AI infrastructure creates favorable long-term demand dynamics. Management's courageous $350M+ Terronera investment is now delivering returns.</w:t>
      </w:r>
    </w:p>
    <w:p>
      <w:pPr>
        <w:spacing w:after="120"/>
      </w:pPr>
      <w:r>
        <w:rPr>
          <w:rFonts w:ascii="Calibri" w:hAnsi="Calibri"/>
          <w:b w:val="0"/>
          <w:color w:val="3A4A28"/>
          <w:sz w:val="20"/>
        </w:rPr>
        <w:t>The bear case centers on the sustainability of the profitability inflection and commodity price dependency. Trailing P/E of 43x reflects the still-nascent profit base, and ROE of 10.58% remains below target as the transformation matures [4]. Profit margin of 8.91% is low relative to the 20% target, typical for mining operations with high cost of goods sold but limiting earnings leverage. AISC must continue declining as Terronera reaches steady-state production for margins to expand sustainably. The $248M debt and convertible notes introduce dilution risk if the stock price exceeds conversion thresholds. Mining execution risk is significant — underground operations in Mexico and Peru carry operational, regulatory, and geopolitical risks, and Q2 adjusted EPS fell short of consensus despite record revenue [1]. Silver price volatility is amplified through EXK's high beta, meaning a correction below $30/oz would compress margins sharply. The Inspire Impact Score of 0 (MIXED) reflects limited ESG coverage data rather than identified concerns.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Terronera mine ramping to full nameplate capacity through H2 2026, expected to drive AISC reduction and margin expansion as fixed costs are absorbed over higher production volumes — H1 2026 results ($131.4M net earnings, 31% margin) demonstrate the trajectory [1]</w:t>
      </w:r>
    </w:p>
    <w:p>
      <w:pPr>
        <w:spacing w:before="40" w:after="40"/>
        <w:ind w:left="283"/>
      </w:pPr>
      <w:r>
        <w:rPr>
          <w:rFonts w:ascii="Calibri" w:hAnsi="Calibri"/>
          <w:b/>
          <w:color w:val="4A6B25"/>
          <w:sz w:val="20"/>
        </w:rPr>
        <w:t xml:space="preserve">2. </w:t>
      </w:r>
      <w:r>
        <w:rPr>
          <w:rFonts w:ascii="Calibri" w:hAnsi="Calibri"/>
          <w:b w:val="0"/>
          <w:color w:val="3A4A28"/>
          <w:sz w:val="20"/>
        </w:rPr>
        <w:t>Silver price strength driven by industrial demand from solar manufacturing, electronics, 5G infrastructure, and AI data center construction, combined with constrained global mine supply — each $1/oz silver price increase adds approximately $8-9M in annual revenue at current production rates</w:t>
      </w:r>
    </w:p>
    <w:p>
      <w:pPr>
        <w:spacing w:before="40" w:after="40"/>
        <w:ind w:left="283"/>
      </w:pPr>
      <w:r>
        <w:rPr>
          <w:rFonts w:ascii="Calibri" w:hAnsi="Calibri"/>
          <w:b/>
          <w:color w:val="4A6B25"/>
          <w:sz w:val="20"/>
        </w:rPr>
        <w:t xml:space="preserve">3. </w:t>
      </w:r>
      <w:r>
        <w:rPr>
          <w:rFonts w:ascii="Calibri" w:hAnsi="Calibri"/>
          <w:b w:val="0"/>
          <w:color w:val="3A4A28"/>
          <w:sz w:val="20"/>
        </w:rPr>
        <w:t>Forward P/E of 6.98x represents deep value for a growing silver producer — TTM metrics have now transitioned positive (ROE 10.58%, profit margin 8.91%), which should attract institutional investors screening on profitability and trigger re-rating toward peer multiples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adjusted EPS fell short of consensus despite 150% revenue growth, suggesting cost management and margin execution remain challenges as Terronera ramps — failure to reduce AISC toward peer-level $14-16/oz could prevent sustained profitability expansion embedded in the forward P/E of 6.98x [1]</w:t>
      </w:r>
    </w:p>
    <w:p>
      <w:pPr>
        <w:spacing w:before="40" w:after="40"/>
        <w:ind w:left="283"/>
      </w:pPr>
      <w:r>
        <w:rPr>
          <w:rFonts w:ascii="Calibri" w:hAnsi="Calibri"/>
          <w:b/>
          <w:color w:val="4A6B25"/>
          <w:sz w:val="20"/>
        </w:rPr>
        <w:t xml:space="preserve">2. </w:t>
      </w:r>
      <w:r>
        <w:rPr>
          <w:rFonts w:ascii="Calibri" w:hAnsi="Calibri"/>
          <w:b w:val="0"/>
          <w:color w:val="3A4A28"/>
          <w:sz w:val="20"/>
        </w:rPr>
        <w:t>Convertible notes and $248M debt create dilution risk and increase financial leverage during a critical operational transition, with interest expense consuming cash that could otherwise fund exploration or accelerate debt reduction</w:t>
      </w:r>
    </w:p>
    <w:p>
      <w:pPr>
        <w:spacing w:before="40" w:after="40"/>
        <w:ind w:left="283"/>
      </w:pPr>
      <w:r>
        <w:rPr>
          <w:rFonts w:ascii="Calibri" w:hAnsi="Calibri"/>
          <w:b/>
          <w:color w:val="4A6B25"/>
          <w:sz w:val="20"/>
        </w:rPr>
        <w:t xml:space="preserve">3. </w:t>
      </w:r>
      <w:r>
        <w:rPr>
          <w:rFonts w:ascii="Calibri" w:hAnsi="Calibri"/>
          <w:b w:val="0"/>
          <w:color w:val="3A4A28"/>
          <w:sz w:val="20"/>
        </w:rPr>
        <w:t>Silver price volatility amplified by EXK's high beta — a correction below $30/oz would compress the 8.91% profit margin toward breakeven, potentially triggering covenant concerns while the company is still in the Terronera ramp-up phase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IMMUNE. Silver mining is an entirely physical-world operation involving underground extraction, mineral processing, and metallurgical refining that AI structurally cannot displace [1]. The business requires massive physical infrastructure — underground mine development, ore processing mills, tailings management, and geological expertise — that exists entirely beyond the digital domain. Silver is a critical industrial metal used in solar panels, electronics, medical applications, and 5G infrastructure, and AI adoption across the economy directly increases demand for silver through expanded electronics manufacturing and renewable energy deployment required to power AI data centers. No analysts have identified AI as a displacement risk to precious metals mining. AI Opportunity (0/1): No AI-related revenue. Mining operations do not generate meaningful AI-related revenue streams, though silver demand benefits indirectly from AI-driven electronics and renewable energy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Endeavour Silver H1 2026 Financial Results — Q1 Revenue $209.7M (+230% YoY), Q2 Revenue $212.1M (+150% YoY), H1 Net Earnings $131.4M, Mine Operating Cash Flow $99.9M (+336%), 2026 Guidance 14.6-15.6M AgEq oz — SEC 6-K/StockTitan/TipRanks, 2026</w:t>
      </w:r>
    </w:p>
    <w:p>
      <w:pPr>
        <w:spacing w:before="20" w:after="20"/>
        <w:ind w:left="170"/>
      </w:pPr>
      <w:r>
        <w:rPr>
          <w:rFonts w:ascii="Calibri" w:hAnsi="Calibri"/>
          <w:b/>
          <w:color w:val="4A6B25"/>
          <w:sz w:val="15"/>
        </w:rPr>
        <w:t xml:space="preserve">2. </w:t>
      </w:r>
      <w:r>
        <w:rPr>
          <w:rFonts w:ascii="Calibri" w:hAnsi="Calibri"/>
          <w:b w:val="0"/>
          <w:color w:val="3A4A28"/>
          <w:sz w:val="17"/>
        </w:rPr>
        <w:t>Endeavour Silver Leadership &amp; Governance — CEO Dan Dickson, COO Luis Castro (22-year veteran) appointed March 2026, Don Gray retirement, cybersecurity/AI oversight, mission statement — edrsilver.com/Globe and Mail, 2026</w:t>
      </w:r>
    </w:p>
    <w:p>
      <w:pPr>
        <w:spacing w:before="20" w:after="20"/>
        <w:ind w:left="170"/>
      </w:pPr>
      <w:r>
        <w:rPr>
          <w:rFonts w:ascii="Calibri" w:hAnsi="Calibri"/>
          <w:b/>
          <w:color w:val="4A6B25"/>
          <w:sz w:val="15"/>
        </w:rPr>
        <w:t xml:space="preserve">3. </w:t>
      </w:r>
      <w:r>
        <w:rPr>
          <w:rFonts w:ascii="Calibri" w:hAnsi="Calibri"/>
          <w:b w:val="0"/>
          <w:color w:val="3A4A28"/>
          <w:sz w:val="17"/>
        </w:rPr>
        <w:t>Endeavour Silver ESG &amp; Sustainability — Sustainability barometer, GRI framework reporting, community engagement in Mexico and Peru, responsible mining practices — edrsilver.com/SEC filings,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EXK Key Statistics: Forward P/E 6.98x, Trailing P/E 43.0x, ROE 10.58%, D/E 34.8%, Profit Margin 8.91%, Stock Price $8.60, Avg Volume 7.85M,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