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FAST</w:t>
      </w:r>
      <w:r>
        <w:rPr>
          <w:rFonts w:ascii="Calibri" w:hAnsi="Calibri"/>
          <w:b/>
          <w:color w:val="1A2010"/>
          <w:sz w:val="40"/>
        </w:rPr>
        <w:t xml:space="preserve">  Fastenal Company</w:t>
      </w:r>
    </w:p>
    <w:p>
      <w:pPr>
        <w:spacing w:after="120"/>
      </w:pPr>
      <w:r>
        <w:rPr>
          <w:rFonts w:ascii="Calibri" w:hAnsi="Calibri"/>
          <w:b/>
          <w:color w:val="6E8450"/>
          <w:sz w:val="18"/>
        </w:rPr>
        <w:t>DIVIDEND SLEEVE · 2026-10-21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NMS · United States</w:t>
      </w:r>
    </w:p>
    <w:p>
      <w:pPr>
        <w:spacing w:after="80"/>
      </w:pPr>
      <w:r>
        <w:rPr>
          <w:rFonts w:ascii="Calibri" w:hAnsi="Calibri"/>
          <w:b w:val="0"/>
          <w:color w:val="3A4A28"/>
          <w:sz w:val="20"/>
        </w:rPr>
        <w:t>Fastenal distributes industrial and construction supplies — fasteners, safety products, cutting tools, and MRO consumables — through 3,500+ in-market locations, 2,000+ Onsite customer-embedded branches, and 125,000+ digital vending machines across the United States, Canada, Mexico, and internationally. The company reported TTM revenue of approximately $9.1B with 15.6% profit margin and 21.5% operating margin in Q3 2026, serving manufacturing, construction, and government customers. Founded in 1967 and headquartered in Winona, Minnesota.</w:t>
      </w:r>
    </w:p>
    <w:p>
      <w:r>
        <w:rPr>
          <w:rFonts w:ascii="Calibri" w:hAnsi="Calibri"/>
          <w:b/>
          <w:color w:val="6E8450"/>
          <w:sz w:val="18"/>
        </w:rPr>
        <w:t>21,749 Employees · https://www.fastenal.com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Fastenal transformed from a branch-based fastener distributor into an Onsite+vending industrial supply platform, with 2,000+ customer-embedded Onsite locations and 125,000+ digital vending machines creating an entirely new inventory management channel that no peer has replicated at scale [1]. The shift from traditional branch-based sales to an embedded supply chain model fundamentally changed the industrial distribution value proposition. AI Deployment (1/2): Acquired agentic AI company Rampp.ai in June 2026, installing its CEO as Fastenal's head of AI business transformation; the 2025 Investor Day outlined a gen AI to task agents to autonomous agents roadmap, but no measurable AI-driven cost savings or revenue have been reported yet [2]. Market Share (2/2): Daily sales grew 15.5% YoY in Q3 2026, significantly outpacing MRO distribution industry growth of 3-5%, as large customer wins through Onsite penetration and digital vending drive sustained market share gains in a $200B+ industrial distribution market [1]. Product Pipeline (1/2): Continued Onsite expansion with new large-account customer wins and digital vending installations, supported by $310-330M capital expenditure in 2026 for infrastructure and IT, but no specific next-generation products with named launch dates — innovation is in service delivery model rather than products [1][2]. R&amp;D Intensity (1/1): Capital investment of $310-330M in 2026 for infrastructure and IT projects, plus the Rampp.ai acquisition, reflects above-average technology investment for the industrial distribution sector where peers typically invest far less in proprietary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Fastenal's guiding philosophy is 'Growth through Customer Service,' a clear statement about what the company values that has guided its decentralized branch model since founding, but is ultimately interchangeable with most service-oriented industrial companies and lacks the transformative depth of a Just Cause. Community Impact (1/2): The company earned a second consecutive EcoVadis silver medal for sustainability and completed a double materiality assessment ahead of EU CSRD reporting requirements, publishing annual ESG reports since 2023 [3]. However, no specific charitable foundations, community investment dollar amounts, or distinctive philanthropic programs were identified. Employee Retention (0/2): No publicly available voluntary turnover rates, average employee tenure statistics, or specific retention data found despite Fastenal's reputation for promote-from-within culture. Insider Buying (0/2): No evidence of meaningful net insider buying by CEO or senior executives in the last 12 months found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Fastenal's financial profile is exceptionally strong on balance sheet and growth metrics: D/E of 10.9% (score 1.0) reflects near-zero leverage with only $452M total debt against $9.1B revenue, while ROE of 35.3% (score 1.0) demonstrates strong capital efficiency [1]. Revenue growth of 15.5% YoY (score 1.0) accelerated through 2026, with 5-year revenue CAGR of approximately 8.5% (score 0.90). Forward P/E of 36.6 is elevated for a distributor (score 0.58), and profit margin of 15.6% sits below the 20% target (score 0.78). Dividend metrics are strong: 30+ consecutive years paid (score 1.0, 2x weight), 25 consecutive years of growth (score 1.0), and 5-year dividend growth CAGR of approximately 13% (score 1.0, 2x weight), though the 78% payout ratio is elevated (score 0.37). Daily dollar volume of $386M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Fastenal plays a moderately infinite game, with a 57-year track record of steady evolution from a single fastener store to the dominant industrial distribution platform through customer-embedded Onsite locations and digital vending. The company's decentralized, entrepreneurial branch model gives local teams autonomy, and the deliberate CEO succession from Florness to Watts demonstrates organizational maturity. However, the company's guiding philosophy of 'Growth through Customer Service' functions more as a business principle than a transcendent Just Cause, and the company's evolution has been incremental rather than transformative, driven by operational excellence rather than a bold vision of a different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'Growth through Customer Service' is Fastenal's longstanding operating philosophy, and it clearly shapes behavior — the Onsite model literally embeds Fastenal inside customer operations to serve them better [1]. However, this reads as a business principle rather than a Sinek-style Just Cause; it doesn't describe a future state that doesn't yet exist or invite sacrifice in service of something larger. It's more 'how we compete' than 'why we exist,' placing Fastenal in the shallow-cause category where purpose exists but doesn't transcend the business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Fastenal's decentralized branch model gives significant autonomy to local teams, and the promote-from-within culture is a core part of the company's identity — the deliberate CEO transition from Daniel Florness to Jeffery Watts in mid-2026 shows organizational maturity and succession planning [2]. The sales-driven, entrepreneurial structure suggests empowerment, though the same culture has been flagged as a potential obstacle to adopting data-first AI tools, suggesting limits to adaptability within the existing trust framework.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Fastenal competes with W.W. Grainger, MSC Industrial, and other industrial distributors but focuses its competitive energy on improving its own Onsite+vending model rather than attacking rivals [1]. The company's strategy of deepening customer relationships through embedded Onsite locations and digital vending represents a self-improvement orientation — Fastenal is trying to become indispensable to customers, not trying to destroy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Fastenal evolved from a single fastener store in Winona, Minnesota (1967) to a comprehensive industrial supply company with 2,000+ Onsite locations and 125,000+ vending machines, fundamentally changing from a traditional branch-based retail model to a customer-embedded supply chain platform [1]. This evolution was significant and required abandoning the traditional retail distribution model, but it was incremental over decades rather than a single transformative pivot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Fastenal invested $310-330M in capital expenditures for infrastructure and IT in 2026, and acquired Rampp.ai to build agentic AI capabilities, demonstrating willingness to invest in long-term technological capability even as it compresses near-term free cash flow (14.1% FCF margin in Q3 2026, down from 15.3% YoY) [1][2]. The sustained buildout of Onsite locations required years of investment before achieving the scale benefits now driving 15.5%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Fastenal at $51.65 with a $59.3B market cap is executing a powerful growth acceleration driven by its differentiated Onsite+vending distribution model — Q3 2026 daily sales surged 15.5% YoY with operating margin expanding 90bps to 21.5%, as SG&amp;A leverage more than offset gross margin pressure from large-account customer mix shifts [1]. The company's 2,000+ Onsite locations and 125,000+ digital vending machines create a self-reinforcing flywheel: deeper customer embedding drives higher wallet share, more data, and greater switching costs, enabling Fastenal to consistently outgrow the industrial distribution market by 10+ percentage points. The balance sheet is fortress-grade with D/E of just 10.9%, ROE of 35.3%, and 30 consecutive years of dividend payments with 25 consecutive years of growth at a 13% 5-year CAGR [1].</w:t>
      </w:r>
    </w:p>
    <w:p>
      <w:pPr>
        <w:spacing w:after="120"/>
      </w:pPr>
      <w:r>
        <w:rPr>
          <w:rFonts w:ascii="Calibri" w:hAnsi="Calibri"/>
          <w:b w:val="0"/>
          <w:color w:val="3A4A28"/>
          <w:sz w:val="20"/>
        </w:rPr>
        <w:t>The bear case centers on premium valuation and margin headwinds. At 36.6x forward earnings and a PEG of 3.3, Fastenal prices in sustained double-digit growth, but Q3 2026 gross margin fell 40bps to 44.8% as the shift toward larger accounts structurally compresses product-level margins [1]. The 78% payout ratio is elevated for a company investing $310-330M annually in capex, and free cash flow margin declined from 15.3% to 14.1% YoY in Q3, suggesting the growth investments are consuming incremental cash generation. Revenue concentration in large contract customers makes results sensitive to industrial production cycles — if U.S. manufacturing output slows from the current growth rate, Fastenal's market-share-driven growth narrative could decelerate sharply [1][2]. The CEO transition from Florness to Watts introduces execution risk during a period of heavy technology investment, including the unproven Rampp.ai acquisition whose integration path remains undefined.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Onsite location expansion driving above-market revenue growth — 15.5% daily sales growth in Q3 2026 significantly outpaces the 3-5% industrial distribution market, with penetration of large-account customers still in early innings as Fastenal targets further Onsite additions [1]</w:t>
      </w:r>
    </w:p>
    <w:p>
      <w:pPr>
        <w:spacing w:before="40" w:after="40"/>
        <w:ind w:left="283"/>
      </w:pPr>
      <w:r>
        <w:rPr>
          <w:rFonts w:ascii="Calibri" w:hAnsi="Calibri"/>
          <w:b/>
          <w:color w:val="4A6B25"/>
          <w:sz w:val="20"/>
        </w:rPr>
        <w:t xml:space="preserve">2. </w:t>
      </w:r>
      <w:r>
        <w:rPr>
          <w:rFonts w:ascii="Calibri" w:hAnsi="Calibri"/>
          <w:b w:val="0"/>
          <w:color w:val="3A4A28"/>
          <w:sz w:val="20"/>
        </w:rPr>
        <w:t>Rampp.ai acquisition and agentic AI roadmap could unlock operational efficiencies in demand forecasting, inventory optimization, and customer service automation across 125,000+ vending machines, potentially expanding margins from the 21.5% operating level [2]</w:t>
      </w:r>
    </w:p>
    <w:p>
      <w:pPr>
        <w:spacing w:before="40" w:after="40"/>
        <w:ind w:left="283"/>
      </w:pPr>
      <w:r>
        <w:rPr>
          <w:rFonts w:ascii="Calibri" w:hAnsi="Calibri"/>
          <w:b/>
          <w:color w:val="4A6B25"/>
          <w:sz w:val="20"/>
        </w:rPr>
        <w:t xml:space="preserve">3. </w:t>
      </w:r>
      <w:r>
        <w:rPr>
          <w:rFonts w:ascii="Calibri" w:hAnsi="Calibri"/>
          <w:b w:val="0"/>
          <w:color w:val="3A4A28"/>
          <w:sz w:val="20"/>
        </w:rPr>
        <w:t>Digital vending and FMI technology platform create an increasing data moat — each additional device generates proprietary consumption data that improves demand forecasting and deepens customer switching costs, reinforcing the competitive flywheel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36.6x forward earnings and PEG of 3.3 leaves minimal margin of safety — any deceleration in the 15.5% revenue growth rate would compress the multiple significantly given the stock trades at nearly 2x the S&amp;P 500 average P/E [1]</w:t>
      </w:r>
    </w:p>
    <w:p>
      <w:pPr>
        <w:spacing w:before="40" w:after="40"/>
        <w:ind w:left="283"/>
      </w:pPr>
      <w:r>
        <w:rPr>
          <w:rFonts w:ascii="Calibri" w:hAnsi="Calibri"/>
          <w:b/>
          <w:color w:val="4A6B25"/>
          <w:sz w:val="20"/>
        </w:rPr>
        <w:t xml:space="preserve">2. </w:t>
      </w:r>
      <w:r>
        <w:rPr>
          <w:rFonts w:ascii="Calibri" w:hAnsi="Calibri"/>
          <w:b w:val="0"/>
          <w:color w:val="3A4A28"/>
          <w:sz w:val="20"/>
        </w:rPr>
        <w:t>Gross margin erosion from large-account customer mix shift — Q3 2026 gross margin fell 40bps to 44.8%, and the strategic shift toward higher-volume Onsite accounts structurally favors revenue growth over margin expansion, creating a potential long-term profitability ceiling [1]</w:t>
      </w:r>
    </w:p>
    <w:p>
      <w:pPr>
        <w:spacing w:before="40" w:after="40"/>
        <w:ind w:left="283"/>
      </w:pPr>
      <w:r>
        <w:rPr>
          <w:rFonts w:ascii="Calibri" w:hAnsi="Calibri"/>
          <w:b/>
          <w:color w:val="4A6B25"/>
          <w:sz w:val="20"/>
        </w:rPr>
        <w:t xml:space="preserve">3. </w:t>
      </w:r>
      <w:r>
        <w:rPr>
          <w:rFonts w:ascii="Calibri" w:hAnsi="Calibri"/>
          <w:b w:val="0"/>
          <w:color w:val="3A4A28"/>
          <w:sz w:val="20"/>
        </w:rPr>
        <w:t>Industrial production cyclicality — Fastenal's revenue concentration in manufacturing and construction customers makes it highly sensitive to macroeconomic slowdowns, and the current 15.5% growth rate partly reflects favorable industrial conditions that may not persist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Fastenal's core business is physical distribution of nuts, bolts, fasteners, safety equipment, and MRO supplies — AI cannot deliver a box of bolts to a manufacturing floor or staff an Onsite location inside a customer's factory [1]. The 125,000+ digital vending machines and 2,000+ embedded Onsite locations create physical infrastructure with deep switching costs that AI structurally cannot displace. The company's proprietary operational data from millions of vending transactions and customer inventory patterns actually becomes more valuable as AI analytics improve, making the business an AI beneficiary rather than victim [2]. AI Opportunity (0/1): While Fastenal acquired Rampp.ai for agentic AI and outlined a progression toward autonomous agents at its 2025 Investor Day, no quantifiable AI-driven revenue has been reported yet — AI deployment remains internal operational improvement rather than a revenue-generating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Fastenal Q3 2026 Earnings Release — 15.5% Daily Sales Growth, 21.5% Operating Margin, $401.6M Net Income (+19.7% YoY), SEC 8-K Filing, October 2026</w:t>
      </w:r>
    </w:p>
    <w:p>
      <w:pPr>
        <w:spacing w:before="20" w:after="20"/>
        <w:ind w:left="170"/>
      </w:pPr>
      <w:r>
        <w:rPr>
          <w:rFonts w:ascii="Calibri" w:hAnsi="Calibri"/>
          <w:b/>
          <w:color w:val="4A6B25"/>
          <w:sz w:val="15"/>
        </w:rPr>
        <w:t xml:space="preserve">2. </w:t>
      </w:r>
      <w:r>
        <w:rPr>
          <w:rFonts w:ascii="Calibri" w:hAnsi="Calibri"/>
          <w:b w:val="0"/>
          <w:color w:val="3A4A28"/>
          <w:sz w:val="17"/>
        </w:rPr>
        <w:t>Fastenal AI Strategy and Leadership — Rampp.ai Acquisition, 2025 Investor Day AI Roadmap, CEO Transition to Jeffery Watts, Distribution Strategy Group, September 2026</w:t>
      </w:r>
    </w:p>
    <w:p>
      <w:pPr>
        <w:spacing w:before="20" w:after="20"/>
        <w:ind w:left="170"/>
      </w:pPr>
      <w:r>
        <w:rPr>
          <w:rFonts w:ascii="Calibri" w:hAnsi="Calibri"/>
          <w:b/>
          <w:color w:val="4A6B25"/>
          <w:sz w:val="15"/>
        </w:rPr>
        <w:t xml:space="preserve">3. </w:t>
      </w:r>
      <w:r>
        <w:rPr>
          <w:rFonts w:ascii="Calibri" w:hAnsi="Calibri"/>
          <w:b w:val="0"/>
          <w:color w:val="3A4A28"/>
          <w:sz w:val="17"/>
        </w:rPr>
        <w:t>Fastenal 2025 ESG Report — EcoVadis Silver Medal, Double Materiality Assessment, Sustainalytics ESG Risk Score 19, Globe and Mail,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