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FA</w:t>
      </w:r>
      <w:r>
        <w:rPr>
          <w:rFonts w:ascii="Calibri" w:hAnsi="Calibri"/>
          <w:b/>
          <w:color w:val="1A2010"/>
          <w:sz w:val="40"/>
        </w:rPr>
        <w:t xml:space="preserve">  First Advantage Corporation</w:t>
      </w:r>
    </w:p>
    <w:p>
      <w:pPr>
        <w:spacing w:after="120"/>
      </w:pPr>
      <w:r>
        <w:rPr>
          <w:rFonts w:ascii="Calibri" w:hAnsi="Calibri"/>
          <w:b/>
          <w:color w:val="6E8450"/>
          <w:sz w:val="18"/>
        </w:rPr>
        <w:t>GROWTH SLEEVE · 2026-09-26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NASDAQ · United States</w:t>
      </w:r>
    </w:p>
    <w:p>
      <w:pPr>
        <w:spacing w:after="80"/>
      </w:pPr>
      <w:r>
        <w:rPr>
          <w:rFonts w:ascii="Calibri" w:hAnsi="Calibri"/>
          <w:b w:val="0"/>
          <w:color w:val="3A4A28"/>
          <w:sz w:val="20"/>
        </w:rPr>
        <w:t>First Advantage Corporation provides employment background screening, digital identity, and verification solutions internationally, serving executive management, HR, talent acquisition, risk, and compliance functions. The company completed its $2.2 billion acquisition of Sterling Check in October 2024, creating a roughly $1.5 billion pro-forma entity targeting $50-70 million in annual cost synergies. Q1 2026 revenue grew 8.6% YoY (the fourth consecutive quarter of growth) with adjusted diluted EPS up 53% YoY, and CEO Scott Staples has framed AI-driven identity fraud as both a risk and a growth opportunity under the banner of 'fighting bad AI with good AI.'</w:t>
      </w:r>
    </w:p>
    <w:p>
      <w:r>
        <w:rPr>
          <w:rFonts w:ascii="Calibri" w:hAnsi="Calibri"/>
          <w:b/>
          <w:color w:val="6E8450"/>
          <w:sz w:val="18"/>
        </w:rPr>
        <w:t>9,500 Employees · https://fadv.com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$2.2 billion Sterling Check acquisition, completed in October 2024, roughly doubled First Advantage's scale into a ~$1.5 billion pro-forma entity with $50-70 million in targeted annual cost synergies, of which $58 million in run-rate synergies had been actioned as of the most recent quarter — a significant consolidation move, though inorganic rather than a product-driven pivot [1]. AI Deployment (2/2): CEO Scott Staples has publicly framed the company's strategy as 'fighting bad AI with good AI,' and First Advantage's screening and identity-verification platforms are described as AI- and API-enabled, representing AI products actively shipping to customers [2]. Market Share (2/2): Post-Sterling, First Advantage is one of the largest background screening and identity verification providers globally, with management citing the combined entity's scale explicitly [1]. Product Pipeline (0/2): No specific next-generation products with named launch dates were disclosed beyond continued platform integration. R&amp;D Intensity (0/1): No R&amp;D-as-percent-of-revenue disclosure relative to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First Advantage's positioning around 'modernizing global hiring' and CEO Scott Staples' framing of ethical AI use in screening ('fighting bad AI with good AI') is somewhat distinctive, but remains largely standard B2B compliance-services language rather than a deeply differentiated cause [2]. Community Impact (0/2): No specific charitable program or dollar-denominated community investment was identified. Employee Retention (0/2): Per IOWN methodology, Glassdoor ratings cannot be used as Inspiration evidence, and no independent tenure or turnover data was found. Insider Buying (0/2): No net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growth-sleeve weights (ROE and 5yr revenue CAGR at 2x weight; Forward PEG unavailable and excluded). Forward P/E of 13.02 scores at the 1.0 cap [3]. Revenue growth of 14.9% YoY (score capped at 1.0) and an estimated ~24.8% 3-year revenue CAGR (2022-2025, score capped at 1.0, 2x weight) both clear their targets, though the jump is driven primarily by the October 2024 Sterling Check acquisition rather than organic growth [1][3]. D/E of 157.7% (score 0.62) reflects acquisition-related leverage. ROE of 1.94% (score 0.13, 2x weight) and profit margin of 1.51% (score 0.08) are both weak, reflecting merger-integration costs and purchase-accounting amortization still working through the income statement. Liquidity comfortably clears the floor: ~1.93M avg daily volume x $19.60 = ~$37.8M.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First Advantage's growth strategy has been primarily financial and M&amp;A-driven — most notably the $2.2 billion Sterling Check acquisition — rather than built around a distinctive, consistently articulated Just Cause. Combined with unresolved FCRA class-action litigation over unauthorized and inaccurate background checks and a lack of disclosed evidence of costly principled leadership decisions, the company reads as a competent operator playing a largely finite, consolidation-driven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Scott Staples' 'good AI vs. bad AI' framing around fair hiring is a notable ethical angle, but the company's public purpose otherwise reads as standard background-screening and compliance-services marketing without evidence that it shapes major strategic decisions beyond growth and margin objectives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Scott Staples has led First Advantage since 2017 and describes a 'teamwork'-centered culture, and the company cites 97% customer retention, but no independent employee tenure or turnover data was found, and ongoing FCRA class-action litigation over unauthorized and inaccurate background checks suggests some compliance friction [2][4].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First Advantage framing competitors as sources of self-improvement; its primary growth lever has been consolidation (acquiring Sterling Check)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$2.2 billion Sterling Check acquisition roughly doubled the company's scale and reshaped its competitive position in a single transaction, representing meaningful adaptation, though it extended the existing business model rather than reinventing it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earnings for long-term capability; the Sterling Check acquisition was a financially driven scale play with quantified synergy targets ($50-70 million) rather than a principled stand that cost the company in the near term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Advantage's Sterling Check acquisition has created meaningful scale in background screening, with Q1 2026 revenue up 8.6% YoY (the fourth consecutive quarter of growth) and adjusted diluted EPS up 53% YoY as synergy realization progresses ($58 million in run-rate synergies actioned against a $50-70 million target) [1]. A Forward P/E of just 13.02 is inexpensive if margins normalize as merger integration costs roll off, and CEO Scott Staples' AI-driven identity-verification positioning ('fighting bad AI with good AI') aligns the company with a genuine, growing need as deepfake and synthetic-identity fraud proliferate [2][3].</w:t>
      </w:r>
    </w:p>
    <w:p>
      <w:pPr>
        <w:spacing w:after="120"/>
      </w:pPr>
      <w:r>
        <w:rPr>
          <w:rFonts w:ascii="Calibri" w:hAnsi="Calibri"/>
          <w:b w:val="0"/>
          <w:color w:val="3A4A28"/>
          <w:sz w:val="20"/>
        </w:rPr>
        <w:t>The bear case centers on weak current profitability and integration risk: ROE of 1.94% and profit margin of 1.51% are both far below IOWN targets, D/E of 157.7% reflects real acquisition leverage, and a trailing P/E of 130.7x reflects earnings still depressed by merger-related costs [3]. First Advantage also faces an active FCRA class-action settlement and multiple lawsuits alleging unauthorized background checks and inaccurate reporting of outdated arrest records, along with a 2026 data breach exposing Social Security numbers — legal and reputational risks that are structural to the background-screening industry but weigh on the Inspiration and Infinite Game scores given the absence of disclosed compensating community or governance evidence [4]. The 24.8% 3-year revenue CAGR is materially inflated by the Sterling acquisition rather than organic growth, so investors should discount headline growth rates until synergy realization is complete and organic trends are clearer.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Sterling Check synergy realization toward the $50-70 million annual target (already $58 million actioned) should mechanically lift ROE and profit margin toward IOWN Infrastructure targets over the next several quarters [1]</w:t>
      </w:r>
    </w:p>
    <w:p>
      <w:pPr>
        <w:spacing w:before="40" w:after="40"/>
        <w:ind w:left="283"/>
      </w:pPr>
      <w:r>
        <w:rPr>
          <w:rFonts w:ascii="Calibri" w:hAnsi="Calibri"/>
          <w:b/>
          <w:color w:val="4A6B25"/>
          <w:sz w:val="20"/>
        </w:rPr>
        <w:t xml:space="preserve">2. </w:t>
      </w:r>
      <w:r>
        <w:rPr>
          <w:rFonts w:ascii="Calibri" w:hAnsi="Calibri"/>
          <w:b w:val="0"/>
          <w:color w:val="3A4A28"/>
          <w:sz w:val="20"/>
        </w:rPr>
        <w:t>AI-driven identity fraud and deepfake-enabled resume fraud are increasing enterprise demand for rigorous verification, a trend CEO Scott Staples has explicitly positioned the company to capture [2]</w:t>
      </w:r>
    </w:p>
    <w:p>
      <w:pPr>
        <w:spacing w:before="40" w:after="40"/>
        <w:ind w:left="283"/>
      </w:pPr>
      <w:r>
        <w:rPr>
          <w:rFonts w:ascii="Calibri" w:hAnsi="Calibri"/>
          <w:b/>
          <w:color w:val="4A6B25"/>
          <w:sz w:val="20"/>
        </w:rPr>
        <w:t xml:space="preserve">3. </w:t>
      </w:r>
      <w:r>
        <w:rPr>
          <w:rFonts w:ascii="Calibri" w:hAnsi="Calibri"/>
          <w:b w:val="0"/>
          <w:color w:val="3A4A28"/>
          <w:sz w:val="20"/>
        </w:rPr>
        <w:t>A Forward P/E of 13.02 versus a trailing P/E of 130.7x implies the market already expects a sharp earnings recovery as merger-related costs and amortization roll off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1.94% and profit margin of 1.51% indicate the Sterling Check integration has not yet produced the margin profile needed to justify the combined entity's leverage (D/E of 157.7%) [3]</w:t>
      </w:r>
    </w:p>
    <w:p>
      <w:pPr>
        <w:spacing w:before="40" w:after="40"/>
        <w:ind w:left="283"/>
      </w:pPr>
      <w:r>
        <w:rPr>
          <w:rFonts w:ascii="Calibri" w:hAnsi="Calibri"/>
          <w:b/>
          <w:color w:val="4A6B25"/>
          <w:sz w:val="20"/>
        </w:rPr>
        <w:t xml:space="preserve">2. </w:t>
      </w:r>
      <w:r>
        <w:rPr>
          <w:rFonts w:ascii="Calibri" w:hAnsi="Calibri"/>
          <w:b w:val="0"/>
          <w:color w:val="3A4A28"/>
          <w:sz w:val="20"/>
        </w:rPr>
        <w:t>Active FCRA class-action settlements and ongoing lawsuits over unauthorized background checks and inaccurate criminal-record reporting create recurring legal and reputational risk inherent to the business model [4]</w:t>
      </w:r>
    </w:p>
    <w:p>
      <w:pPr>
        <w:spacing w:before="40" w:after="40"/>
        <w:ind w:left="283"/>
      </w:pPr>
      <w:r>
        <w:rPr>
          <w:rFonts w:ascii="Calibri" w:hAnsi="Calibri"/>
          <w:b/>
          <w:color w:val="4A6B25"/>
          <w:sz w:val="20"/>
        </w:rPr>
        <w:t xml:space="preserve">3. </w:t>
      </w:r>
      <w:r>
        <w:rPr>
          <w:rFonts w:ascii="Calibri" w:hAnsi="Calibri"/>
          <w:b w:val="0"/>
          <w:color w:val="3A4A28"/>
          <w:sz w:val="20"/>
        </w:rPr>
        <w:t>A 2026 data breach exposing Social Security numbers adds data-security and further litigation risk in a business built on handling sensitive consumer data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First Advantage's core business depends on regulatory compliance relationships (FCRA), access to authoritative government and criminal-record databases, and legal liability management that generic AI tools cannot easily replicate; simpler document-review and verification tasks could see AI-driven automation, but the proliferation of AI-generated deepfakes and synthetic identity fraud is actually increasing demand for stronger human-and-AI-assisted identity verification, a business First Advantage is positioned to sell into [2]. AI Opportunity (0/1): While CEO Scott Staples frames AI as central to the company's screening platform, no specific dollar or percentage figure for AI-related revenue was disclosed, so no tiebreaker point is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Advantage Q1 2026 Earnings and Sterling Check Synergy Update — 8.6% Revenue Growth, $58M Run-Rate Synergies Actioned — Investing.com, investors.fadv.com, 2026</w:t>
      </w:r>
    </w:p>
    <w:p>
      <w:pPr>
        <w:spacing w:before="20" w:after="20"/>
        <w:ind w:left="170"/>
      </w:pPr>
      <w:r>
        <w:rPr>
          <w:rFonts w:ascii="Calibri" w:hAnsi="Calibri"/>
          <w:b/>
          <w:color w:val="4A6B25"/>
          <w:sz w:val="15"/>
        </w:rPr>
        <w:t xml:space="preserve">2. </w:t>
      </w:r>
      <w:r>
        <w:rPr>
          <w:rFonts w:ascii="Calibri" w:hAnsi="Calibri"/>
          <w:b w:val="0"/>
          <w:color w:val="3A4A28"/>
          <w:sz w:val="17"/>
        </w:rPr>
        <w:t>First Advantage CEO Scott Staples on AI-Driven Screening — 'Fighting Bad AI with Good AI' — The Consulting Report, fadv.com,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yfinance — FA Key Statistics: D/E 157.7%, ROE 1.94%, Forward P/E 13.02, Profit Margin 1.51%,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First Advantage FCRA Class-Action Settlements and Data Breach Litigation — classaction.org, unfairbackgroundchecks.com, carolinalaw.com,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