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FBGL</w:t>
      </w:r>
      <w:r>
        <w:rPr>
          <w:rFonts w:ascii="Calibri" w:hAnsi="Calibri"/>
          <w:b/>
          <w:color w:val="1A2010"/>
          <w:sz w:val="40"/>
        </w:rPr>
        <w:t xml:space="preserve">  FBS Global Limited</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Singapore</w:t>
      </w:r>
    </w:p>
    <w:p>
      <w:pPr>
        <w:spacing w:after="80"/>
      </w:pPr>
      <w:r>
        <w:rPr>
          <w:rFonts w:ascii="Calibri" w:hAnsi="Calibri"/>
          <w:b w:val="0"/>
          <w:color w:val="3A4A28"/>
          <w:sz w:val="20"/>
        </w:rPr>
        <w:t>FBS Global Limited is a Singapore-based green building contractor and interior fit-out specialist providing construction and engineering services including supply of building materials and precast concrete components, recycling of construction and industrial wastes, and pavement consultancy. The company undertakes interior fit-out works for institutional, residential, commercial, and industrial building projects. FY2025 revenue was S$25.86M (+87% YoY) with a net loss of S$2.04M. The stock trades near all-time lows at ~$0.60, received a Nasdaq deficiency notice in April 2026 for failing the $1.00 minimum bid price requirement, and has until October 2026 to regain compliance. Founded 1996, headquartered in Singapore.</w:t>
      </w:r>
    </w:p>
    <w:p>
      <w:r>
        <w:rPr>
          <w:rFonts w:ascii="Calibri" w:hAnsi="Calibri"/>
          <w:b/>
          <w:color w:val="6E8450"/>
          <w:sz w:val="18"/>
        </w:rPr>
        <w:t>300 Employees · https://www.fbs-grp.com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FBS Global delivered 87% revenue growth in FY2025 to S$25.86M, and Q4 2025 revenue surged 245% YoY to $7.0M, demonstrating the company can win and execute on projects [1][2]. However, this growth is from a very small base and represents project-based variability rather than systematic innovation. The company is a sub-contractor in Singapore's construction market with no proprietary technology or differentiated methodology. AI Deployment (0/2): No evidence of AI-powered tools, digital construction technology, BIM integration, or operational AI. The company uses conventional construction methods [1]. Market Share (0/2): FBS Global is a micro-cap construction company with S$26M in annual revenue competing in Singapore's S$40B+ construction market — a negligible market share with no competitive moat or brand recognition outside of Singapore [1]. Product Pipeline (1/2): The green building and construction waste recycling capabilities represent a modest environmental niche, and the pavement consultancy service adds marginal diversification. However, no specific contract pipeline, order backlog, or expansion plans have been disclosed with timelines [1]. R&amp;D Intensity (0/1): Construction company with no disclosed R&amp;D spending or technology development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FBS Global's focus on green building and construction waste recycling reflects some environmental consciousness, but the company has not articulated a specific purpose beyond commercial construction services. The recycling operations and green building focus provide a modest environmental angle, but this is standard positioning in Singapore's construction sector where the Building and Construction Authority mandates green building standards [1]. Community Impact (0/2): No evidence of charitable programs, community investment, or social impact initiatives beyond standard construction industry operations. Employee Retention (0/2): No public employee retention data, culture metrics, or organizational health indicators available for this Singapore-based micro-cap. Insider Buying (0/2): No evidence of meaningful insider buying. The Nasdaq compliance struggles and constant stock price decline suggest limited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Estimated avg_daily_volume (~100,000 shares) x stock_price ($0.60) = ~$60,000, far below the $1,000,000 minimum threshold. Infrastructure score is automatically set to 0 [3]. For context: FBS Global has a market cap of approximately $4M, net loss of S$2.04M on S$25.86M revenue in FY2025, and faces Nasdaq delisting risk with the stock trading below the $1.00 minimum bid price since April 2026 [2][3]. The company received a Nasdaq deficiency notice with a deadline of October 12, 2026 to regain compliance. Revenue growth of 87% YoY is the sole bright spot, but the net loss widened 150% from FY2024, indicating growth is not translating to profitability [1]. The all-time low of $0.6201 was reached in July 2026. Beta of -0.61 suggests the stock moves inversely to the market, reflecting its speculative, event-driven nature.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FBS Global operates under intense finite survival pressure. With a $4M market cap, Nasdaq delisting risk, and widening losses despite revenue growth, strategic decisions are necessarily dominated by near-term survival. The company was founded in 1996 and has operated for 30 years in Singapore's construction market, demonstrating basic durability, but the Nasdaq IPO and subsequent stock collapse from $1,100 all-time high (pre-split adjusted) to $0.60 reveals a company that is struggling to justify its public listing. The green building focus provides a modest purpose beyond pure profit, but no evidence of infinite game thinking in governance or strategy has been identified.</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FBS Global's green building and construction waste recycling focus represents a modest environmental purpose, but the company has not articulated a compelling vision beyond 'providing construction services in Singapore' [1]. The 30-year operating history demonstrates commitment to the construction business, but longevity alone does not constitute a Just Cause. The green building positioning is increasingly standard in Singapore's regulatory environment rather than a voluntary higher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 data on employee satisfaction, retention, or organizational culture. As a Singapore-based construction company with approximately 300 employees, the company likely relies on project-based labor models common in the industry. The Nasdaq compliance pressures and stock price decline create organizational uncertainty that challenges trust-building. No evidence of exceptional employee programs, internal promotion culture, or workforce investment was identified [1].</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FBS Global operates in Singapore's highly competitive construction market against numerous local and international contractors. The company's green building and recycling niche suggests some differentiation, but no evidence of competitive self-awareness or using rivals for self-improvement was identified. The decision to list on Nasdaq rather than the Singapore Exchange suggests ambition to access U.S. capital markets, but the subsequent stock collapse raises questions about the strategic reasoning.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FBS Global has been a construction and interior fit-out company since 1996 — 30 years of essentially the same business model. The addition of construction waste recycling and green building capabilities represents incremental evolution within the same industry. The Nasdaq IPO was a strategic move to access international capital markets, but the stock's decline from $1,100 (pre-split adjusted) to $0.60 suggests this pivot has not created value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sacrificed near-term results for long-term capability. The Nasdaq listing required boldness, but the subsequent compliance failures and stock collapse suggest execution did not match ambition. The company's primary challenge appears to be survival rather than strategic courage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FBS Global delivered impressive revenue growth — FY2025 revenue surged 87% YoY to S$25.86M, with Q4 2025 revenue up 245% YoY to $7.0M, demonstrating the company's ability to win and execute on construction projects in Singapore [1][2]. The green building and construction waste recycling niche aligns with Singapore's mandatory Building and Construction Authority standards, providing a modest competitive positioning. The company has operated for 30 years since its 1996 founding, demonstrating basic business durability. The 2-analyst Buy consensus with a $13.50 price target suggests significant upside potential if the company can resolve its Nasdaq compliance issues and achieve profitability [3].</w:t>
      </w:r>
    </w:p>
    <w:p>
      <w:pPr>
        <w:spacing w:after="120"/>
      </w:pPr>
      <w:r>
        <w:rPr>
          <w:rFonts w:ascii="Calibri" w:hAnsi="Calibri"/>
          <w:b w:val="0"/>
          <w:color w:val="3A4A28"/>
          <w:sz w:val="20"/>
        </w:rPr>
        <w:t>The bear case is severe and existential. FBS Global has a $4M market cap, is trading at $0.60 near its all-time low, and received a Nasdaq deficiency notice in April 2026 for failing the $1.00 minimum bid price requirement with an October 2026 deadline [3]. The stock's decline from $1,100 (pre-split adjusted) to $0.60 represents a near-total loss of investor value. Despite 87% revenue growth, the net loss widened 150% to S$2.04M in FY2025, indicating that growth is not translating to profitability [1]. Daily dollar volume of approximately $60,000 fails the IOWN $1M liquidity floor by a massive margin, making the stock untradeable for institutional investors. The company faces potential delisting from Nasdaq if it cannot regain $1.00 compliance by October 2026, which would further destroy liquidity and investor access. At a $4M market cap with negative profitability and delisting risk, this is a speculative micro-cap with existential risks that overwhelm any growth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trajectory continuation — FY2025's 87% growth and Q4's 245% surge suggest the company is winning larger projects in Singapore's construction market, which could drive profitability if scale effects materialize [1][2]</w:t>
      </w:r>
    </w:p>
    <w:p>
      <w:pPr>
        <w:spacing w:before="40" w:after="40"/>
        <w:ind w:left="283"/>
      </w:pPr>
      <w:r>
        <w:rPr>
          <w:rFonts w:ascii="Calibri" w:hAnsi="Calibri"/>
          <w:b/>
          <w:color w:val="4A6B25"/>
          <w:sz w:val="20"/>
        </w:rPr>
        <w:t xml:space="preserve">2. </w:t>
      </w:r>
      <w:r>
        <w:rPr>
          <w:rFonts w:ascii="Calibri" w:hAnsi="Calibri"/>
          <w:b w:val="0"/>
          <w:color w:val="3A4A28"/>
          <w:sz w:val="20"/>
        </w:rPr>
        <w:t>Nasdaq compliance resolution — regaining the $1.00 minimum bid by the October 2026 deadline would remove the most immediate existential threat and potentially trigger a relief rally [3]</w:t>
      </w:r>
    </w:p>
    <w:p>
      <w:pPr>
        <w:spacing w:before="40" w:after="40"/>
        <w:ind w:left="283"/>
      </w:pPr>
      <w:r>
        <w:rPr>
          <w:rFonts w:ascii="Calibri" w:hAnsi="Calibri"/>
          <w:b/>
          <w:color w:val="4A6B25"/>
          <w:sz w:val="20"/>
        </w:rPr>
        <w:t xml:space="preserve">3. </w:t>
      </w:r>
      <w:r>
        <w:rPr>
          <w:rFonts w:ascii="Calibri" w:hAnsi="Calibri"/>
          <w:b w:val="0"/>
          <w:color w:val="3A4A28"/>
          <w:sz w:val="20"/>
        </w:rPr>
        <w:t>Green building regulatory tailwinds — Singapore's Building and Construction Authority mandates are increasing green building requirements, potentially expanding the addressable market for FBS Global's specialized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risk — stock trading at $0.60 against a $1.00 minimum bid requirement with October 2026 deadline; failure to comply would force the company to OTC markets, devastating liquidity and institutional access [3]</w:t>
      </w:r>
    </w:p>
    <w:p>
      <w:pPr>
        <w:spacing w:before="40" w:after="40"/>
        <w:ind w:left="283"/>
      </w:pPr>
      <w:r>
        <w:rPr>
          <w:rFonts w:ascii="Calibri" w:hAnsi="Calibri"/>
          <w:b/>
          <w:color w:val="4A6B25"/>
          <w:sz w:val="20"/>
        </w:rPr>
        <w:t xml:space="preserve">2. </w:t>
      </w:r>
      <w:r>
        <w:rPr>
          <w:rFonts w:ascii="Calibri" w:hAnsi="Calibri"/>
          <w:b w:val="0"/>
          <w:color w:val="3A4A28"/>
          <w:sz w:val="20"/>
        </w:rPr>
        <w:t>Widening losses despite revenue growth — net loss expanded 150% to S$2.04M in FY2025 despite 87% revenue growth, suggesting structural profitability challenges in the competitive Singapore construction market [1]</w:t>
      </w:r>
    </w:p>
    <w:p>
      <w:pPr>
        <w:spacing w:before="40" w:after="40"/>
        <w:ind w:left="283"/>
      </w:pPr>
      <w:r>
        <w:rPr>
          <w:rFonts w:ascii="Calibri" w:hAnsi="Calibri"/>
          <w:b/>
          <w:color w:val="4A6B25"/>
          <w:sz w:val="20"/>
        </w:rPr>
        <w:t xml:space="preserve">3. </w:t>
      </w:r>
      <w:r>
        <w:rPr>
          <w:rFonts w:ascii="Calibri" w:hAnsi="Calibri"/>
          <w:b w:val="0"/>
          <w:color w:val="3A4A28"/>
          <w:sz w:val="20"/>
        </w:rPr>
        <w:t>Micro-cap liquidity crisis — $4M market cap with ~$60K daily dollar volume fails the IOWN $1M liquidity floor, making the stock effectively untradeable for institutional investors and creating potential for severe price dislocations on minimal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FBS Global's core business — physical construction, interior fit-out, building material supply, and pavement consultancy — requires on-site manual labor, physical material handling, and regulatory compliance that AI structurally cannot substitute [1]. Buildings must be physically constructed, interiors physically fitted, and waste physically recycled. The construction industry has been among the slowest to adopt technology of any major sector. However, AI-powered construction management tools, automated scheduling, and robotic construction equipment represent emerging competitive threats that could pressure margins for companies without technology adoption strategies. AI Opportunity (0/1): No evidence of AI deployment in operations, project management, or service delivery. The company appears to use conventional construction methods and management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FBS Global FY2025 Annual Report (Form 20-F) — Revenue S$25.86M (+87% YoY), Net Loss S$2.04M, EPS -S$0.15 — 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FBS Global Q4 2025 Earnings — Revenue $7.0M (+245% YoY), Gross Profit $490K (+1,846% YoY), Net Loss $887K — Quiver Quantitative,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TradingView — FBGL Key Statistics: Stock Price ~$0.60, Market Cap ~$4M, Nasdaq Deficiency Notice April 2026, 52-Week Range $0.62-$25.00,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