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FBLG</w:t>
      </w:r>
      <w:r>
        <w:rPr>
          <w:rFonts w:ascii="Calibri" w:hAnsi="Calibri"/>
          <w:b/>
          <w:color w:val="1A2010"/>
          <w:sz w:val="40"/>
        </w:rPr>
        <w:t xml:space="preserve">  FibroBiologics, Inc.</w:t>
      </w:r>
    </w:p>
    <w:p>
      <w:pPr>
        <w:spacing w:after="120"/>
      </w:pPr>
      <w:r>
        <w:rPr>
          <w:rFonts w:ascii="Calibri" w:hAnsi="Calibri"/>
          <w:b/>
          <w:color w:val="6E8450"/>
          <w:sz w:val="18"/>
        </w:rPr>
        <w:t>GROWTH SLEEVE · 2026-09-09 · Inspire: 35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FibroBiologics is a clinical-stage biotechnology company developing fibroblast-based cell therapies and fibroblast-derived materials for chronic diseases including diabetic foot ulcers, multiple sclerosis, degenerative disc disease, psoriasis, and longevity-related indications. The company holds 270+ US and international patents. Lead program CYWC628 achieved first patient dosing in a Phase 1/2 trial for diabetic foot ulcers in Q2 2026, with interim results expected 2H 2026 and primary safety/efficacy data by year-end. The company strengthened its balance sheet with $9M private placement and $3M public offering. Q2 2026 cash was $3.5M. Founded by CEO Pete O'Heeron, headquartered in Houston, Texas.</w:t>
      </w:r>
    </w:p>
    <w:p>
      <w:r>
        <w:rPr>
          <w:rFonts w:ascii="Calibri" w:hAnsi="Calibri"/>
          <w:b/>
          <w:color w:val="6E8450"/>
          <w:sz w:val="18"/>
        </w:rPr>
        <w:t>25 Employees · https://www.fibrobiologics.com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FibroBiologics has advanced a novel fibroblast cell therapy platform with 270+ patents across wound healing, multiple sclerosis, disc degeneration, psoriasis, and longevity [1][2]. The company achieved first patient dosing in the CYWC628 Phase 1/2 trial for diabetic foot ulcers in Q2 2026, a concrete clinical milestone, with interim results expected 2H 2026 and primary data by year-end [3]. The CYMS101 program for multiple sclerosis completed a 5-patient Phase 1 safety study in Mexico. However, no transformative product launches, completed pivotal trials, or commercial products exist. AI Deployment (0/2): No AI-powered products or AI-driven operational efficiencies reported. The company uses conventional cell biology and drug development methods [2]. Market Share (0/2): Pre-revenue micro-cap with no commercial market presence; the fibroblast cell therapy space is nascent with no established market to lead [1]. Product Pipeline (1/2): Lead CYWC628 now dosing patients in Phase 1/2 for diabetic foot ulcers; CYPS317 psoriasis IND filed December 2025; CYMS101 MS US IND planned; CybroCell degenerative disc disease has FDA IND clearance [3]. Multiple shots on goal but all early-stage. R&amp;D Intensity (1/1): R&amp;D expenses of $1.7M in Q2 2026 on zero revenue demonstrate full commitment to research, though absolute spending is modest reflecting micro-cap scale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FibroBiologics' purpose — developing treatments and seeking potential cures for chronic diseases using fibroblast cells — is clear and patient-focused [2]. Company leadership authored an opinion editorial highlighting fibroblast cells' therapeutic advantages over traditional stem cell therapies, demonstrating scientific conviction and thought leadership [4]. However, the mission is standard biotech formulation without a distinctive vision that would set it apart from hundreds of other cell therapy companies. Community Impact (0/2): No evidence of charitable programs, foundation activity, or community investment beyond clinical trial patient access. The ~25-person team and micro-cap status limit community reach. Employee Retention (0/2): No publicly available retention or culture data for this micro-cap biotech. Recent hires include CFO Jason Davis and General Counsel Ruben Garcia, but no employee sentiment data exists. Insider Buying (1/2): Multiple insiders purchased shares at depressed prices in early 2026 — CFO Jason Davis bought 70,000 shares in March 2026 and General Counsel Ruben Garcia bought 40,000 shares in February 2026 — demonstrating deliberate insider conviction at sub-$0.50 price levels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Estimated avg_daily_volume (~200,000 shares) x stock_price ($0.65) = ~$130,000, far below the $1,000,000 minimum threshold. Infrastructure score is automatically set to 0 [5]. For context: FibroBiologics reported a $4.1M net loss in Q2 2026 with R&amp;D expenses of $1.7M and G&amp;A of $2.4M [3]. Cash of $3.5M as of June 30, 2026 was supplemented by a $9.0M private placement ($3.0M upfront, ~$6.0M via warrant exercises) and a $3.0M public offering in April 2026 [3]. Even with these raises, operating expenses of ~$16-18M annually against zero revenue imply the company must continue raising capital frequently. Share dilution has been substantial — shares outstanding increased 58.6% YoY. The stock trades near its all-time low following a 1-for-20 reverse stock split in April 2026 to maintain Nasdaq compliance.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FibroBiologics is a founder-led micro-cap biotech that has persisted with its fibroblast therapy vision despite extreme resource constraints — achieving first patient dosing in CYWC628 despite a $4M market cap and constant capital pressure. CEO Pete O'Heeron's personal conviction is evident through the 270+ patent portfolio and continued fundraising to advance the pipeline. However, the company lacks the organizational maturity, multi-decade track record, or financial stability that enables infinite game thinking. With $3.5M in cash against ~$16-18M annual burn and Nasdaq compliance at risk, strategic decisions are necessarily dominated by near-term survival rather than long-term vision.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FibroBiologics articulates a purpose focused on curing chronic diseases through novel fibroblast cell therapy — a genuine patient-focused mission that guides scientific direction [2]. Company leadership authored a scientific editorial positioning fibroblast cells as superior to traditional stem cell therapies, demonstrating intellectual conviction beyond commercial positioning [4]. However, the cause has not been validated by years of execution, survived leadership transitions, or been tested through market crises. The 270+ patent portfolio demonstrates intellectual commitment, but a Just Cause requires organizational proof.</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approximately 25 employees, a $4M market cap, and constant need for dilutive financing, building trusting teams is structurally difficult. Cash of $3.5M as of Q2 2026 against quarterly burn of ~$4M creates existential uncertainty that challenges organizational stability [3]. The 58.6% increase in shares outstanding through dilutive capital raises creates compensation uncertainty for equity-holding employees. No data on employee empowerment, psychological safety, or voluntary turnover exists.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FibroBiologics positions fibroblast therapy as a novel approach distinct from mesenchymal stem cells, with leadership authoring an editorial arguing fibroblasts' therapeutic advantages [4]. However, no public evidence of how the company views competitors in the regenerative medicine and cell therapy space (Vertex, bluebird bio, Legend Biotech) as sources of competitive learning. The competitive posture is claim-staking rather than improvement-seeking.</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FibroBiologics has pursued fibroblast-based therapy consistently since founding, applying the platform across multiple indications (wound healing, MS, disc disease, psoriasis) but never fundamentally pivoting from the core fibroblast approach [2][3]. The multi-indication strategy shows breadth of ambition within the same scientific paradigm but not evidence of strategic flexibility under pressure. At this early stage, it is unclear whether the company could adapt if fibroblast therapy fails to demonstrate clinical efficacy.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Pete O'Heeron has persisted with the fibroblast therapy vision despite a sub-$5M market capitalization, Nasdaq compliance challenges, and the inherent difficulty of raising capital for early-stage cell therapy [2][3]. Multiple insiders purchased shares at sub-$0.50 prices in early 2026, putting personal capital at risk when the stock was in severe distress [5]. The company secured $12M in capital raises ($9M private placement + $3M public offering) to fund clinical advancement. However, the courage is primarily survival persistence rather than strategic sacrifice — the company has not faced a situation requiring a costly long-term bet over short-term safety.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FibroBiologics represents a speculative bet on a novel cell therapy platform with 270+ patents covering fibroblast-based treatments across multiple chronic disease indications [2]. The lead program CYWC628 achieved first patient dosing in a Phase 1/2 trial for diabetic foot ulcers in Q2 2026, with interim results expected 2H 2026 and primary safety/efficacy data by year-end — the first clinical validation of the fibroblast spheroid approach [3]. The company secured $12M in capital ($9M private placement, $3M public offering) to fund clinical advancement. CFO and General Counsel purchased shares at sub-$0.50 levels, demonstrating management conviction [5]. The 2-analyst Buy consensus with $13.50 average price target suggests substantial upside if clinical data validates the platform. The fibroblast approach targets large addressable markets — diabetic foot ulcers ($5B+), psoriasis ($20B+), multiple sclerosis ($28B+). Inspire Impact Score of 35 (ALIGNED) is a positive for faith-based investors.</w:t>
      </w:r>
    </w:p>
    <w:p>
      <w:pPr>
        <w:spacing w:after="120"/>
      </w:pPr>
      <w:r>
        <w:rPr>
          <w:rFonts w:ascii="Calibri" w:hAnsi="Calibri"/>
          <w:b w:val="0"/>
          <w:color w:val="3A4A28"/>
          <w:sz w:val="20"/>
        </w:rPr>
        <w:t>The bear case is overwhelming for a position-sized investment. FibroBiologics fails the IOWN liquidity floor with daily dollar volume of approximately $130,000, making it essentially untradeable for any institutional strategy [5]. The $4M market cap against ~$16-18M in annual operating expenses means the company must raise capital imminently and repeatedly, guaranteeing severe dilution — shares outstanding already increased 58.6% YoY [3][5]. Cash of $3.5M as of Q2 2026 funds approximately one quarter of operations even after the $12M in recent raises, and the 1-for-20 reverse stock split in April 2026 was needed to maintain Nasdaq compliance [3]. All clinical programs are Phase 1 or earlier, meaning years of development remain before any potential revenue. The company has zero revenue, deeply negative cash flow, and competes against well-capitalized cell therapy companies with established manufacturing and commercial capabilities. The stock trades near its all-time low at $0.65, and the micro-cap status creates liquidity risk that makes position sizing nearly impossible.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CYWC628 Phase 1/2 interim results expected 2H 2026 with primary safety and efficacy data by year-end for diabetic foot ulcers — first clinical validation of the fibroblast spheroid therapeutic approach [3]</w:t>
      </w:r>
    </w:p>
    <w:p>
      <w:pPr>
        <w:spacing w:before="40" w:after="40"/>
        <w:ind w:left="283"/>
      </w:pPr>
      <w:r>
        <w:rPr>
          <w:rFonts w:ascii="Calibri" w:hAnsi="Calibri"/>
          <w:b/>
          <w:color w:val="4A6B25"/>
          <w:sz w:val="20"/>
        </w:rPr>
        <w:t xml:space="preserve">2. </w:t>
      </w:r>
      <w:r>
        <w:rPr>
          <w:rFonts w:ascii="Calibri" w:hAnsi="Calibri"/>
          <w:b w:val="0"/>
          <w:color w:val="3A4A28"/>
          <w:sz w:val="20"/>
        </w:rPr>
        <w:t>CYPS317 psoriasis IND and CYMS101 multiple sclerosis US IND filings could open larger therapeutic markets and attract partnership interest from established pharmaceutical companies [2]</w:t>
      </w:r>
    </w:p>
    <w:p>
      <w:pPr>
        <w:spacing w:before="40" w:after="40"/>
        <w:ind w:left="283"/>
      </w:pPr>
      <w:r>
        <w:rPr>
          <w:rFonts w:ascii="Calibri" w:hAnsi="Calibri"/>
          <w:b/>
          <w:color w:val="4A6B25"/>
          <w:sz w:val="20"/>
        </w:rPr>
        <w:t xml:space="preserve">3. </w:t>
      </w:r>
      <w:r>
        <w:rPr>
          <w:rFonts w:ascii="Calibri" w:hAnsi="Calibri"/>
          <w:b w:val="0"/>
          <w:color w:val="3A4A28"/>
          <w:sz w:val="20"/>
        </w:rPr>
        <w:t>Potential strategic partnership or licensing deal leveraging the 270+ patent portfolio to provide non-dilutive funding and scientific validation from a larger biopharma partner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Liquidity floor breach — daily dollar volume of ~$130K makes the stock untradeable for institutional investors and disqualifies it from IOWN screening criteria [5]</w:t>
      </w:r>
    </w:p>
    <w:p>
      <w:pPr>
        <w:spacing w:before="40" w:after="40"/>
        <w:ind w:left="283"/>
      </w:pPr>
      <w:r>
        <w:rPr>
          <w:rFonts w:ascii="Calibri" w:hAnsi="Calibri"/>
          <w:b/>
          <w:color w:val="4A6B25"/>
          <w:sz w:val="20"/>
        </w:rPr>
        <w:t xml:space="preserve">2. </w:t>
      </w:r>
      <w:r>
        <w:rPr>
          <w:rFonts w:ascii="Calibri" w:hAnsi="Calibri"/>
          <w:b w:val="0"/>
          <w:color w:val="3A4A28"/>
          <w:sz w:val="20"/>
        </w:rPr>
        <w:t>Existential capital risk — $3.5M cash as of Q2 2026 against ~$4M quarterly burn requires immediate and repeated capital raises, guaranteeing further severe shareholder dilution beyond the 58.6% YoY share increase already incurred [3]</w:t>
      </w:r>
    </w:p>
    <w:p>
      <w:pPr>
        <w:spacing w:before="40" w:after="40"/>
        <w:ind w:left="283"/>
      </w:pPr>
      <w:r>
        <w:rPr>
          <w:rFonts w:ascii="Calibri" w:hAnsi="Calibri"/>
          <w:b/>
          <w:color w:val="4A6B25"/>
          <w:sz w:val="20"/>
        </w:rPr>
        <w:t xml:space="preserve">3. </w:t>
      </w:r>
      <w:r>
        <w:rPr>
          <w:rFonts w:ascii="Calibri" w:hAnsi="Calibri"/>
          <w:b w:val="0"/>
          <w:color w:val="3A4A28"/>
          <w:sz w:val="20"/>
        </w:rPr>
        <w:t>All programs are Phase 1 or preclinical with years of clinical development remaining — no efficacy data exists for any indication, and the entire investment thesis rests on an unvalidated fibroblast cell therapy mechanism competing against well-capitalized cell therapy leaders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FibroBiologics operates in regenerative cell therapy, which involves harvesting, culturing, and administering living fibroblast cells to patients — a deeply physical and biologically complex process that AI cannot substitute [2]. Clinical trials require FDA regulatory approval, physical patient enrollment, biological sample handling, and years of safety monitoring. Cell therapy manufacturing involves specialized cGMP cleanroom facilities (manufactured with Charles River) and biological processes that are inherently non-digital [4]. However, AI-driven drug discovery and competing regenerative medicine approaches (gene therapy, mRNA therapeutics) could reduce demand for fibroblast-based therapies if alternative modalities prove more effective over time. AI Opportunity (0/1): No AI-specific revenue or AI-enhanced products; the fibroblast cell therapy platform is entirely biology-driven with conventional drug development methods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FibroBiologics FY2025 Annual Report and CEO Shareholder Letter — R&amp;D $8.58M, Net Loss $18.6M, 270+ Patents, Pipeline Strategy, January 2026</w:t>
      </w:r>
    </w:p>
    <w:p>
      <w:pPr>
        <w:spacing w:before="20" w:after="20"/>
        <w:ind w:left="170"/>
      </w:pPr>
      <w:r>
        <w:rPr>
          <w:rFonts w:ascii="Calibri" w:hAnsi="Calibri"/>
          <w:b/>
          <w:color w:val="4A6B25"/>
          <w:sz w:val="15"/>
        </w:rPr>
        <w:t xml:space="preserve">2. </w:t>
      </w:r>
      <w:r>
        <w:rPr>
          <w:rFonts w:ascii="Calibri" w:hAnsi="Calibri"/>
          <w:b w:val="0"/>
          <w:color w:val="3A4A28"/>
          <w:sz w:val="17"/>
        </w:rPr>
        <w:t>FibroBiologics Corporate Website, Technology Platform, and Patent Portfolio — fibrobiologics.com,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FibroBiologics Q2 2026 Financial Results — Net Loss ~$4.1M, Cash $3.5M, First Patient Dosed in CYWC628 Phase 1/2, $9M Private Placement + $3M Public Offering — StockTitan, August 2026</w:t>
      </w:r>
    </w:p>
    <w:p>
      <w:pPr>
        <w:spacing w:before="20" w:after="20"/>
        <w:ind w:left="170"/>
      </w:pPr>
      <w:r>
        <w:rPr>
          <w:rFonts w:ascii="Calibri" w:hAnsi="Calibri"/>
          <w:b/>
          <w:color w:val="4A6B25"/>
          <w:sz w:val="15"/>
        </w:rPr>
        <w:t xml:space="preserve">4. </w:t>
      </w:r>
      <w:r>
        <w:rPr>
          <w:rFonts w:ascii="Calibri" w:hAnsi="Calibri"/>
          <w:b w:val="0"/>
          <w:color w:val="3A4A28"/>
          <w:sz w:val="17"/>
        </w:rPr>
        <w:t>FibroBiologics Leadership Editorial — Fibroblast Cells' Therapeutic Advantages Over Traditional Stem Cell Therapies, GlobeNewsWire, September 2025; cGMP Manufacturing with Charles River, Q1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 FBLG Key Statistics: Stock Price ~$0.65, Market Cap ~$4M, 2-Analyst Buy Consensus $13.50 Target,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