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FCBM</w:t>
      </w:r>
      <w:r>
        <w:rPr>
          <w:rFonts w:ascii="Calibri" w:hAnsi="Calibri"/>
          <w:b/>
          <w:color w:val="1A2010"/>
          <w:sz w:val="40"/>
        </w:rPr>
        <w:t xml:space="preserve">  First Carolina Financial Services, Inc.</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First Carolina Financial Services is the Raleigh, North Carolina-based holding company for First Carolina Bank, operating two segments: Community Banking (nine branches across NC, VA, SC, and GA serving small/mid-sized businesses) and BM Tech (a payments and disbursements platform connected to 750+ higher education campuses via the BankMobile platform acquired from BM Technologies for $67M) [1][2]. The company completed its NYSE IPO on June 18, 2026, raising approximately $69.6M, and reported Q2 2026 net income of $5.1M ($0.20 diluted EPS, +11% YoY) with total assets of $3.61B [1]. It does not currently pay a dividend.</w:t>
      </w:r>
    </w:p>
    <w:p>
      <w:r>
        <w:rPr>
          <w:rFonts w:ascii="Calibri" w:hAnsi="Calibri"/>
          <w:b/>
          <w:color w:val="6E8450"/>
          <w:sz w:val="18"/>
        </w:rPr>
        <w:t>269 Employees · https://www.firstcarolinabank.com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First Carolina executed a transformative acquisition of BM Technologies for $67M, adding a fintech payments platform connected to 750+ higher education campuses to a traditional community bank — fundamentally expanding the company's identity from regional bank to bank-plus-fintech hybrid [2][3]. The June 2026 NYSE IPO and $69.6M capital raise enabled this transformation, and the July 2026 executive realignment (Chief Revenue and Strategy Officer now overseeing BM Technologies integration) demonstrates continued strategic evolution. AI Deployment (0/2): No evidence of AI product deployment or quantified AI-driven efficiency gains was found in any public materials or earnings disclosures. Market Share (1/2): First Carolina holds top deposit market share in its Rocky Mount, NC headquarters market, a meaningful but narrowly regional leadership position [1]. Product Pipeline (0/2): General payments platform expansion and geographic growth across four states are described, but no specific next-generation products with named launch dates or revenue visibility were identified. R&amp;D Intensity (0/1): As a community bank, First Carolina does not report R&amp;D spending and no data indicates above-average technology investment relative to banking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First Carolina positions itself around relationship-focused community banking — 'doing the day-to-day things in banking extremely well' with a 'service-first focus rather than 1-800 help line' — which clearly identifies what the company does and differentiates from large banks, but is interchangeable with the marketing of many community banks and lacks a deeper purpose beyond service quality [1]. Community Impact (0/2): The company references building 'extensive community relationships' through local hiring across four states, but no specific charitable programs, foundation activities, or dollar amounts were identified. Employee Retention (0/2): No turnover or tenure data is publicly available; recent workforce reductions reported in Q2 2026 (contributing to a 17.1% decline in noninterest expense) suggest cost optimization rather than exceptional retention [4]. Insider Buying (0/2): No meaningful insider buying data was found; as a company that completed its IPO only in June 2026, post-IPO lock-up restrictions limit near-term insider trading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39.9% ($138.4M total debt / $346.9M equity) scores 1.0 against the 70% target, reflecting a conservatively leveraged post-IPO balance sheet [1][5]. Forward P/E of 9.24x scores 1.0 against the 20x target, indicating attractive valuation relative to forward earnings estimates of $1.37 EPS [5]. Profit margin of 10.8% scores 0.54 against the 20% target, typical for a community bank [5]. ROE of 3.5% ($12.2M FY2025 net income / $346.9M equity, 2x weight) scores 0.23, reflecting the dilutive impact of the $69.6M IPO equity raise not yet fully deployed into earning assets [1][5]. Revenue Growth YoY of -13.3% scores 0.22, depressed by the planned termination of a BaaS partnership that reduced noninterest income by 49.5% in Q2 2026 despite net interest income growing 8.8% [4][5]. The stock clears the $1M liquidity floor ($12.63 x 147K shares = $1.86M daily dollar volume), though remains thinly traded for a small-cap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First Carolina is a growing community bank with a genuinely differentiated business model through its BM Technologies payments platform, but its public messaging centers on operational execution rather than an idealistic cause, and as a company only months removed from its NYSE IPO, there is insufficient track record of tested leadership continuity, courageous long-term decisions, or crisis resilience. Workforce reductions in Q2 2026 and the absence of a distinctive Just Cause signal a finite-game orientation focused on near-term operational efficiency.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bank's stated focus on personal, local relationship banking versus impersonal large-bank service is a genuine differentiator, and the BM Technologies acquisition adds a purpose of serving higher education students' financial needs, but neither rises to the level of a Just Cause in Sinek's framework — there is no articulated vision of a future state so appealing that people would sacrifice to advance it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Q2 2026 earnings reported workforce reductions contributing to a 17.1% decline in noninterest expense, which is a negative indicator for organizational trust and psychological safety [4]. No specific tenure, turnover, or employee sentiment data is available, and layoffs undercut any stated commitment to people-first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publicly framing competing banks or fintech companies as worthy rivals whose strengths inform First Carolina's strategy. CEO Ron Day's public statements focus on internal organizational development rather than competitive learning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First Carolina evolved from a traditional community bank to a bank-plus-fintech hybrid through the BM Technologies acquisition for $67M, adding a payments platform serving 750+ college campuses — a meaningful business model expansion that changed the company's strategic identity [2][3]. The June 2026 IPO and July 2026 executive realignment further demonstrate organizational evolution. However, this falls short of a transformative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BM Technologies acquisition for $67M, funded partly by raising $45.5M from new shareholders, represented a meaningful long-term bet for a small community bank, fundamentally transforming the business model [2][3]. The IPO itself required leadership to accept public-company scrutiny and disclosure requirements in service of growth ambitions. These decisions demonstrate some willingness to make costly bets, though they align with growth strategy rather than sacrificing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 Carolina Financial Services at $12.63 with a $392M market cap is a differentiated small-cap community bank trading at an attractive 9.24x forward P/E, combining traditional relationship banking across nine branches in four states with a fintech payments platform (BM Technologies) connected to 750+ higher education campuses [1][2][5]. Q2 2026 net income grew 11% YoY to $5.1M ($0.20 EPS, beating consensus by $0.01), net interest income expanded 8.8% to $25.6M, and noninterest expense declined 17.1% through operational efficiencies, demonstrating improving profitability as the BM Technologies integration matures [4]. The post-IPO balance sheet is conservatively leveraged (39.9% D/E, $118.8M cash) with $346.9M in equity, and full deployment of the IPO capital into earning assets should drive ROE expansion toward industry norms.</w:t>
      </w:r>
    </w:p>
    <w:p>
      <w:pPr>
        <w:spacing w:after="120"/>
      </w:pPr>
      <w:r>
        <w:rPr>
          <w:rFonts w:ascii="Calibri" w:hAnsi="Calibri"/>
          <w:b w:val="0"/>
          <w:color w:val="3A4A28"/>
          <w:sz w:val="20"/>
        </w:rPr>
        <w:t>The bear case centers on thin liquidity, depressed profitability, and execution risk. Average daily dollar volume of $1.86M sits only modestly above the $1M IOWN liquidity floor, meaning the stock could see outsized price swings on modest trading volume [5]. Current ROE of 3.5% is well below the 15% bank industry target, reflecting dilution from the $69.6M IPO raise not yet fully deployed and a $12.2M net income base that declined from $20.9M in FY2024 due to BM Technologies integration costs [5]. Revenue growth turned negative (-13.3% most recent quarter) after the planned termination of a BaaS partnership reduced noninterest income by 49.5%, and while net interest income is growing, the company has no multi-year public trading history to evaluate through a credit cycle [4]. Post-IPO lock-up expirations could create additional selling pressure on the thinly traded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deployment of IPO capital into earning loan assets and continued BM Technologies integration should drive ROE toward 8-10% over the next 12 months, with forward EPS estimates of $1.37 implying significant earnings acceleration from the current $0.54 trailing EPS [5]</w:t>
      </w:r>
    </w:p>
    <w:p>
      <w:pPr>
        <w:spacing w:before="40" w:after="40"/>
        <w:ind w:left="283"/>
      </w:pPr>
      <w:r>
        <w:rPr>
          <w:rFonts w:ascii="Calibri" w:hAnsi="Calibri"/>
          <w:b/>
          <w:color w:val="4A6B25"/>
          <w:sz w:val="20"/>
        </w:rPr>
        <w:t xml:space="preserve">2. </w:t>
      </w:r>
      <w:r>
        <w:rPr>
          <w:rFonts w:ascii="Calibri" w:hAnsi="Calibri"/>
          <w:b w:val="0"/>
          <w:color w:val="3A4A28"/>
          <w:sz w:val="20"/>
        </w:rPr>
        <w:t>Expansion of the payments platform beyond 750+ campuses and development of new revenue streams from the BankMobile infrastructure could diversify fee income and reduce dependence on net interest income [2][3]</w:t>
      </w:r>
    </w:p>
    <w:p>
      <w:pPr>
        <w:spacing w:before="40" w:after="40"/>
        <w:ind w:left="283"/>
      </w:pPr>
      <w:r>
        <w:rPr>
          <w:rFonts w:ascii="Calibri" w:hAnsi="Calibri"/>
          <w:b/>
          <w:color w:val="4A6B25"/>
          <w:sz w:val="20"/>
        </w:rPr>
        <w:t xml:space="preserve">3. </w:t>
      </w:r>
      <w:r>
        <w:rPr>
          <w:rFonts w:ascii="Calibri" w:hAnsi="Calibri"/>
          <w:b w:val="0"/>
          <w:color w:val="3A4A28"/>
          <w:sz w:val="20"/>
        </w:rPr>
        <w:t>Initiation of analyst coverage and potential index inclusion following the recent IPO could improve trading liquidity and price discovery, benefiting from the attractive 9.24x forward P/E relative to community bank peers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Average daily dollar volume of $1.86M sits near the IOWN liquidity floor, creating elevated volatility risk and potential difficulty establishing or exiting meaningful positions without moving the stock price [5]</w:t>
      </w:r>
    </w:p>
    <w:p>
      <w:pPr>
        <w:spacing w:before="40" w:after="40"/>
        <w:ind w:left="283"/>
      </w:pPr>
      <w:r>
        <w:rPr>
          <w:rFonts w:ascii="Calibri" w:hAnsi="Calibri"/>
          <w:b/>
          <w:color w:val="4A6B25"/>
          <w:sz w:val="20"/>
        </w:rPr>
        <w:t xml:space="preserve">2. </w:t>
      </w:r>
      <w:r>
        <w:rPr>
          <w:rFonts w:ascii="Calibri" w:hAnsi="Calibri"/>
          <w:b w:val="0"/>
          <w:color w:val="3A4A28"/>
          <w:sz w:val="20"/>
        </w:rPr>
        <w:t>ROE of 3.5% is significantly below the 15% target — if IPO capital deployment into earning assets is slower than expected or credit quality deteriorates in the small-business and higher-ed lending niches, profitability recovery could disappoint [1][5]</w:t>
      </w:r>
    </w:p>
    <w:p>
      <w:pPr>
        <w:spacing w:before="40" w:after="40"/>
        <w:ind w:left="283"/>
      </w:pPr>
      <w:r>
        <w:rPr>
          <w:rFonts w:ascii="Calibri" w:hAnsi="Calibri"/>
          <w:b/>
          <w:color w:val="4A6B25"/>
          <w:sz w:val="20"/>
        </w:rPr>
        <w:t xml:space="preserve">3. </w:t>
      </w:r>
      <w:r>
        <w:rPr>
          <w:rFonts w:ascii="Calibri" w:hAnsi="Calibri"/>
          <w:b w:val="0"/>
          <w:color w:val="3A4A28"/>
          <w:sz w:val="20"/>
        </w:rPr>
        <w:t>As a company with only four months of public trading history and recent workforce reductions, there is no track record of leadership performing through a credit cycle, and the BM Technologies integration introduces ongoing operational complexity for a 269-employee organization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First Carolina's core community banking business relies on relationship-based underwriting, FDIC-insured deposits, bank charter regulatory licensing, and local trust built through nine physical branches — defensive moats that AI cannot replicate or displace [1]. The BM Technologies payments platform has embedded switching costs through 750+ campus partnerships requiring contractual integration with higher education financial aid systems, creating regulatory and operational barriers to AI-driven displacement [2][3]. Broader industry trends show AI increasingly automating loan origination workflows at larger banks, which could pressure smaller banks' cost structures over time, but First Carolina's relationship-banking model and niche in higher education disbursements provide meaningful insulation. AI Opportunity (0/1): No evidence of AI-related revenue, AI-powered products, or quantified AI-driven efficiency gains was found in any public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 Carolina Financial Services NYSE IPO and Company Overview — $69.6M Raise, Total Assets $3.4B-$3.61B, Top Rocky Mount Deposit Share — SEC Filings (S-1, 424B4), StockTitan, June 2026</w:t>
      </w:r>
    </w:p>
    <w:p>
      <w:pPr>
        <w:spacing w:before="20" w:after="20"/>
        <w:ind w:left="170"/>
      </w:pPr>
      <w:r>
        <w:rPr>
          <w:rFonts w:ascii="Calibri" w:hAnsi="Calibri"/>
          <w:b/>
          <w:color w:val="4A6B25"/>
          <w:sz w:val="15"/>
        </w:rPr>
        <w:t xml:space="preserve">2. </w:t>
      </w:r>
      <w:r>
        <w:rPr>
          <w:rFonts w:ascii="Calibri" w:hAnsi="Calibri"/>
          <w:b w:val="0"/>
          <w:color w:val="3A4A28"/>
          <w:sz w:val="17"/>
        </w:rPr>
        <w:t>First Carolina Bank BM Technologies Acquisition — $67M Deal, 750+ Campus Connections, $525M Initial Deposits — S&amp;P Global Market Intelligence, BusinessNC, 2023-2026</w:t>
      </w:r>
    </w:p>
    <w:p>
      <w:pPr>
        <w:spacing w:before="20" w:after="20"/>
        <w:ind w:left="170"/>
      </w:pPr>
      <w:r>
        <w:rPr>
          <w:rFonts w:ascii="Calibri" w:hAnsi="Calibri"/>
          <w:b/>
          <w:color w:val="4A6B25"/>
          <w:sz w:val="15"/>
        </w:rPr>
        <w:t xml:space="preserve">3. </w:t>
      </w:r>
      <w:r>
        <w:rPr>
          <w:rFonts w:ascii="Calibri" w:hAnsi="Calibri"/>
          <w:b w:val="0"/>
          <w:color w:val="3A4A28"/>
          <w:sz w:val="17"/>
        </w:rPr>
        <w:t>First Carolina Financial Services Executive Realignment — CEO Ron Day, CRO Andrew Mathieson Overseeing BM Technologies Integration, Pat Pritchard Retail/IT — BusinessWire, July 2026</w:t>
      </w:r>
    </w:p>
    <w:p>
      <w:pPr>
        <w:spacing w:before="20" w:after="20"/>
        <w:ind w:left="170"/>
      </w:pPr>
      <w:r>
        <w:rPr>
          <w:rFonts w:ascii="Calibri" w:hAnsi="Calibri"/>
          <w:b/>
          <w:color w:val="4A6B25"/>
          <w:sz w:val="15"/>
        </w:rPr>
        <w:t xml:space="preserve">4. </w:t>
      </w:r>
      <w:r>
        <w:rPr>
          <w:rFonts w:ascii="Calibri" w:hAnsi="Calibri"/>
          <w:b w:val="0"/>
          <w:color w:val="3A4A28"/>
          <w:sz w:val="17"/>
        </w:rPr>
        <w:t>First Carolina Financial Services Q2 2026 Earnings — Revenue $32.26M, EPS $0.20 (+$0.01 Beat), Net Income $5.1M (+11% YoY), NII +8.8%, Expenses -17.1% — MarketBeat, Quartr, 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FCBM Key Statistics: Price $12.63, Forward P/E 9.24, D/E 39.9%, ROE 3.5%, Profit Margin 10.8%, Avg Volume 147K,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