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FCEL</w:t>
      </w:r>
      <w:r>
        <w:rPr>
          <w:rFonts w:ascii="Calibri" w:hAnsi="Calibri"/>
          <w:b/>
          <w:color w:val="1A2010"/>
          <w:sz w:val="40"/>
        </w:rPr>
        <w:t xml:space="preserve">  FuelCell Energy, Inc.</w:t>
      </w:r>
    </w:p>
    <w:p>
      <w:pPr>
        <w:spacing w:after="120"/>
      </w:pPr>
      <w:r>
        <w:rPr>
          <w:rFonts w:ascii="Calibri" w:hAnsi="Calibri"/>
          <w:b/>
          <w:color w:val="6E8450"/>
          <w:sz w:val="18"/>
        </w:rPr>
        <w:t>GROWTH SLEEVE · 2026-09-13 · Inspire: 81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FuelCell Energy designs, manufactures, sells, installs, operates, and services stationary fuel cell power plants for distributed baseload power generation using its proprietary molten carbonate fuel cell (MCFC) technology. The company serves commercial, industrial, government, and utility customers and has pivoted aggressively toward AI data center power with its 12.5MW Power Block platform. Total committed and awarded capacity backlog reached $3.6B in Q3 FY2026. Founded in 1969, headquartered in Danbury, Connecticut. Management targets positive adjusted EBITDA by fiscal Q4 2027.</w:t>
      </w:r>
    </w:p>
    <w:p>
      <w:r>
        <w:rPr>
          <w:rFonts w:ascii="Calibri" w:hAnsi="Calibri"/>
          <w:b/>
          <w:color w:val="6E8450"/>
          <w:sz w:val="18"/>
        </w:rPr>
        <w:t>424 Employees · https://www.fuelcellenergy.com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FuelCell Energy has operated for 55+ years without achieving sustained profitability — a fundamental commercial execution failure despite legitimate technology [1]. Q1 FY2026 revenue grew 61% YoY to $30.5M and Q2 delivered $35.6M, but Q3 FY2026 dropped to $33M (-29% YoY) as fewer module deliveries to South Korea and lower generation output weighed on results [3]. AI Deployment (1/2): FuelCell partnered with IBM to use generative AI Foundation Models for optimizing fuel cell performance and longevity — a direct application of AI to improve core product operations [2]. Predictive maintenance and remote monitoring use AI/ML for installed fleet management. Market Share (1/2): FuelCell holds a differentiated position in molten carbonate fuel cell technology with 100+ MW of installed capacity, but Bloom Energy dominates the data center fuel cell market with virtually every primary-load SOFC contract in the visible order book [2][3]. Product Pipeline (1/2): Total committed and awarded capacity backlog surged to $3.6B in Q3 FY2026 (up from $1.14B in Q2), representing potentially transformative scale [3]. Sales pipeline expanded to 4 GW (up 267%), with non-binding agreements for data center deployments. Torrington manufacturing expansion from 100MW to 350MW annual capacity provides production scale. However, pipeline remains largely non-binding. R&amp;D Intensity (0/1): R&amp;D spending is modest relative to competitive needs and the company's 55-year history.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FuelCell Energy's mission to utilize clean fuel cell technology to reduce the global environmental footprint of baseload power generation is clear and purpose-driven, addressing climate change through distributed clean power [2]. The company has avoided 155,000 metric tons of CO2 emissions for customers and maintains ISS ESG Prime status [5]. However, the mission is not deeply distinctive from other clean energy companies. Community Impact (0/2): No evidence of distinctive charitable programs or community investment beyond core business environmental benefits. Employee Retention (0/2): Executive team rated in the bottom 40% of similar size companies on Comparably [4]. Glassdoor data shows severe internal dissatisfaction with low recommendation rates, indicating retention challenges. Insider Buying (0/2): No meaningful net insider buying data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Q3 FY2026 revenue of $33.0M declined 29% YoY from $46.7M, with a narrowed net loss of $45.3M and adjusted EBITDA of -$36.7M [3]. Nine-month FY2026 revenue of $99.1M is down 3.9% from FY2025's $103.1M over the same period, though management targets positive adjusted EBITDA by Q4 FY2027 [3]. D/E of 20% is a bright spot — the company maintains substantial cash against modest debt, providing financial runway for the data center strategy [5]. Deeply negative ROE (-25.2%) and profit margin (-107.5%) score at floor. Forward P/E unavailable due to negative earnings. PEG of 3.19 exceeds the 3.0 floor, scoring zero with 2× weight. The 5-year revenue CAGR of ~18% scores at ceiling with 2× weight, but the most recent YoY decline (-4% on 9-month basis) partially offsets. Liquidity floor: 5,190,000 avg volume × $22.97 = $119.2M daily — passes easily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FuelCell Energy has demonstrated extraordinary persistence — operating for 55+ years without sustained profitability while maintaining commitment to clean energy fuel cell technology through multiple market cycles. This patience is infinite-game behavior. However, the company's inability to convert technology into profitable operations, low employee satisfaction ratings, and serial dependence on the latest market narrative (previously natural gas, hydrogen, grid modernization — now AI data centers) reveal finite-game vulnerabilities. The pattern of promising each new catalyst will be 'the one' that delivers profitability, only to miss repeatedly, undermines credibility despite the promising $3.6B backlog buildup.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Enabling clean, distributed baseload power generation is a genuine cause that transcends quarterly results. FuelCell has avoided 155,000 metric tons of CO2 emissions for customers, maintains ISS ESG Prime status, and has committed to a 2050 net-zero approach [5]. The company's 55-year commitment to fuel cell technology through persistent losses demonstrates purpose beyond profit [2]. The data center pivot is framed as extending clean energy to a new market. However, 55 years of losses raise questions about whether the cause is being effectively advanced or merely invoked to justify continued existence.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data reveals a low-trust environment — Executive Team rated in the bottom 40% of similar size companies on Comparably, and Glassdoor reviews indicate cultural dysfunction [4]. For a company with only 424 employees dependent on attracting and retaining engineering talent to execute a critical manufacturing scale-up and convert a $3.6B backlog into delivered projects, this organizational weakness is a material execution risk.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FuelCell competes against Bloom Energy, which holds virtually every primary-load SOFC contract in the data center market, as well as traditional power generation and grid infrastructure [2]. No evidence of management acknowledging Bloom's strengths or using competitive pressure for self-improvement. Competitive language does not reflect an infinite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FuelCell has repeatedly repositioned its technology for emerging applications — from distributed utility generation to micro-grids to hydrogen production to AI data centers. The current pivot to AI data center power with the 12.5MW Power Block platform, $3.6B backlog (up from $1.14B one quarter prior), and 800V DC output specifically designed for server racks represents meaningful strategic adaptation [3]. However, each previous pivot failed to achieve profitability, and the company has not fundamentally changed its cost structure despite multiple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commitment to fuel cell technology through 55 years of losses requires institutional persistence. The Torrington manufacturing expansion from 100MW to 350MW capacity shows conviction in the data center opportunity, and management has set a clear target of positive adjusted EBITDA by Q4 FY2027 [1][3]. CEO Few's background in AI/ML (prior role at Sustayn Analytics) adds credibility to the pivot. However, each previous 'transformative' pivot (shale gas, hydrogen economy, grid modernization) failed to deliver profitability, and internal confidence appears low based on employee satisfaction data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FuelCell Energy is positioned at the intersection of clean energy and AI infrastructure demand, with its proprietary molten carbonate fuel cell technology offering distributed baseload power for data centers. The Q3 FY2026 backlog explosion to $3.6B (up from $1.14B in Q2) is a transformative development that provides multi-year revenue visibility if converted to delivered projects [3]. The sales pipeline of 4 GW with 80%+ tied to data centers, Torrington manufacturing expansion to 350MW annual capacity, and management's target of positive adjusted EBITDA by Q4 FY2027 outline a path to commercial viability [1][3]. The Inspire Impact Score of 81 (ALIGNED) with 18 positive and zero negative attributions reflects outstanding ESG alignment for faith-based investors [5]. D/E of 20% provides financial runway, and ISS ESG Prime status validates the company's clean energy mission.</w:t>
      </w:r>
    </w:p>
    <w:p>
      <w:pPr>
        <w:spacing w:after="120"/>
      </w:pPr>
      <w:r>
        <w:rPr>
          <w:rFonts w:ascii="Calibri" w:hAnsi="Calibri"/>
          <w:b w:val="0"/>
          <w:color w:val="3A4A28"/>
          <w:sz w:val="20"/>
        </w:rPr>
        <w:t>The bear case remains deeply established: FuelCell Energy has operated for 55+ years without achieving sustained profitability. Q3 FY2026 revenue of $33M fell 29% YoY with net loss of $45.3M and adjusted EBITDA of -$36.7M — the company continues to burn cash at an alarming rate [3]. While the backlog surged to $3.6B, the prior record shows that large backlogs and pipelines have repeatedly failed to translate to sustained profitability — the $1.14B Q2 backlog was already substantial, and revenue still declined. Bloom Energy dominates the data center fuel cell market. Share dilution has been persistent and destructive to per-share economics. Employee satisfaction data showing the Executive Team in the bottom 40% on Comparably creates material talent retention and execution risk during a critical manufacturing scale-up [4]. Every previous market narrative (natural gas, hydrogen economy, grid modernization) failed to produce profitability, and skeptics argue the AI data center story is the latest chapter in the same pattern.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Conversion of the $3.6B committed and awarded backlog into firm delivery contracts would validate FuelCell's data center power strategy and fundamentally change the revenue trajectory — backlog tripled in a single quarter from $1.14B [3]</w:t>
      </w:r>
    </w:p>
    <w:p>
      <w:pPr>
        <w:spacing w:before="40" w:after="40"/>
        <w:ind w:left="283"/>
      </w:pPr>
      <w:r>
        <w:rPr>
          <w:rFonts w:ascii="Calibri" w:hAnsi="Calibri"/>
          <w:b/>
          <w:color w:val="4A6B25"/>
          <w:sz w:val="20"/>
        </w:rPr>
        <w:t xml:space="preserve">2. </w:t>
      </w:r>
      <w:r>
        <w:rPr>
          <w:rFonts w:ascii="Calibri" w:hAnsi="Calibri"/>
          <w:b w:val="0"/>
          <w:color w:val="3A4A28"/>
          <w:sz w:val="20"/>
        </w:rPr>
        <w:t>Achieving positive adjusted EBITDA by Q4 FY2027 (management target) would represent a historic milestone for a company that has never sustained profitability in 55 years of operation [3]</w:t>
      </w:r>
    </w:p>
    <w:p>
      <w:pPr>
        <w:spacing w:before="40" w:after="40"/>
        <w:ind w:left="283"/>
      </w:pPr>
      <w:r>
        <w:rPr>
          <w:rFonts w:ascii="Calibri" w:hAnsi="Calibri"/>
          <w:b/>
          <w:color w:val="4A6B25"/>
          <w:sz w:val="20"/>
        </w:rPr>
        <w:t xml:space="preserve">3. </w:t>
      </w:r>
      <w:r>
        <w:rPr>
          <w:rFonts w:ascii="Calibri" w:hAnsi="Calibri"/>
          <w:b w:val="0"/>
          <w:color w:val="3A4A28"/>
          <w:sz w:val="20"/>
        </w:rPr>
        <w:t>Torrington manufacturing expansion from 100MW to 350MW annual capacity enables volume production necessary to fulfill the $3.6B backlog, potentially driving unit economics improvement and gross margin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55 years of operating losses with -107.5% net margin — Q3 FY2026 revenue declined 29% YoY to $33M with $45.3M net loss, and each previous market narrative failed to deliver commercial viability despite promising backlogs [3]</w:t>
      </w:r>
    </w:p>
    <w:p>
      <w:pPr>
        <w:spacing w:before="40" w:after="40"/>
        <w:ind w:left="283"/>
      </w:pPr>
      <w:r>
        <w:rPr>
          <w:rFonts w:ascii="Calibri" w:hAnsi="Calibri"/>
          <w:b/>
          <w:color w:val="4A6B25"/>
          <w:sz w:val="20"/>
        </w:rPr>
        <w:t xml:space="preserve">2. </w:t>
      </w:r>
      <w:r>
        <w:rPr>
          <w:rFonts w:ascii="Calibri" w:hAnsi="Calibri"/>
          <w:b w:val="0"/>
          <w:color w:val="3A4A28"/>
          <w:sz w:val="20"/>
        </w:rPr>
        <w:t>Executive Team rated in the bottom 40% of similar companies on Comparably, indicating organizational dysfunction that could impair execution of the critical manufacturing scale-up needed to deliver on the $3.6B backlog with only 424 employees [4]</w:t>
      </w:r>
    </w:p>
    <w:p>
      <w:pPr>
        <w:spacing w:before="40" w:after="40"/>
        <w:ind w:left="283"/>
      </w:pPr>
      <w:r>
        <w:rPr>
          <w:rFonts w:ascii="Calibri" w:hAnsi="Calibri"/>
          <w:b/>
          <w:color w:val="4A6B25"/>
          <w:sz w:val="20"/>
        </w:rPr>
        <w:t xml:space="preserve">3. </w:t>
      </w:r>
      <w:r>
        <w:rPr>
          <w:rFonts w:ascii="Calibri" w:hAnsi="Calibri"/>
          <w:b w:val="0"/>
          <w:color w:val="3A4A28"/>
          <w:sz w:val="20"/>
        </w:rPr>
        <w:t>The $3.6B backlog includes 'committed and awarded capacity' which may include non-binding or conditional awards — prior backlog of $1.14B was already declining 9.9% YoY before the Q3 surge, and pipeline conversion remains the fundamental execution uncertainty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FuelCell Energy's core business — manufacturing and operating stationary fuel cell power plants — is physical infrastructure that AI structurally cannot displace. AI adoption actually increases demand for FuelCell's products: data center operators need reliable, clean, distributed baseload power to meet surging energy requirements from AI training and inference workloads [2][3]. The company's 800-volt DC power output connects directly to server racks, and carbon capture capability adds a sustainability differentiator. Physical power generation, manufacturing, and installation represent capabilities far beyond AI's reach. The $3.6B backlog tied primarily to data center applications confirms AI as a tailwind, not a threat [3]. AI Opportunity (0/1): While 80%+ of FCEL's pipeline targets AI data centers, the company's revenue comes from selling physical fuel cells and power — not AI products or services. The $3.6B backlog represents committed and awarded capacity for data center power, but current revenue remains from traditional fuel cell operations. No quantified AI-specific revenue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81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FuelCell Energy Q1 FY2026 Earnings Release — $30.5M revenue (61% YoY growth), data center power strategy advancement; investor.fce.com, March 2026</w:t>
      </w:r>
    </w:p>
    <w:p>
      <w:pPr>
        <w:spacing w:before="20" w:after="20"/>
        <w:ind w:left="170"/>
      </w:pPr>
      <w:r>
        <w:rPr>
          <w:rFonts w:ascii="Calibri" w:hAnsi="Calibri"/>
          <w:b/>
          <w:color w:val="4A6B25"/>
          <w:sz w:val="15"/>
        </w:rPr>
        <w:t xml:space="preserve">2. </w:t>
      </w:r>
      <w:r>
        <w:rPr>
          <w:rFonts w:ascii="Calibri" w:hAnsi="Calibri"/>
          <w:b w:val="0"/>
          <w:color w:val="3A4A28"/>
          <w:sz w:val="17"/>
        </w:rPr>
        <w:t>FuelCell Energy CEO Jason Few Leadership, IBM AI Partnership, Company Profile — CEO background in AI/ML (Sustayn Analytics), distributed clean power mission; fuelcellenergy.com, 2026</w:t>
      </w:r>
    </w:p>
    <w:p>
      <w:pPr>
        <w:spacing w:before="20" w:after="20"/>
        <w:ind w:left="170"/>
      </w:pPr>
      <w:r>
        <w:rPr>
          <w:rFonts w:ascii="Calibri" w:hAnsi="Calibri"/>
          <w:b/>
          <w:color w:val="4A6B25"/>
          <w:sz w:val="15"/>
        </w:rPr>
        <w:t xml:space="preserve">3. </w:t>
      </w:r>
      <w:r>
        <w:rPr>
          <w:rFonts w:ascii="Calibri" w:hAnsi="Calibri"/>
          <w:b w:val="0"/>
          <w:color w:val="3A4A28"/>
          <w:sz w:val="17"/>
        </w:rPr>
        <w:t>FuelCell Energy Q3 FY2026 Results — Revenue $33.0M (-29% YoY), Net Loss $45.3M (narrowed), Adjusted EBITDA -$36.7M, Backlog $3.6B (up from $1.14B), EBITDA-positive target Q4 FY2027 — StockTitan, September 2026</w:t>
      </w:r>
    </w:p>
    <w:p>
      <w:pPr>
        <w:spacing w:before="20" w:after="20"/>
        <w:ind w:left="170"/>
      </w:pPr>
      <w:r>
        <w:rPr>
          <w:rFonts w:ascii="Calibri" w:hAnsi="Calibri"/>
          <w:b/>
          <w:color w:val="4A6B25"/>
          <w:sz w:val="15"/>
        </w:rPr>
        <w:t xml:space="preserve">4. </w:t>
      </w:r>
      <w:r>
        <w:rPr>
          <w:rFonts w:ascii="Calibri" w:hAnsi="Calibri"/>
          <w:b w:val="0"/>
          <w:color w:val="3A4A28"/>
          <w:sz w:val="17"/>
        </w:rPr>
        <w:t>Employee Reviews — Executive Team in Bottom 40% on Comparably, organizational culture concerns; Glassdoor/Comparably,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FuelCell Energy ESG — ISS ESG Prime status, 155K metric tons CO2 avoided, 2050 net-zero approach, Sustainalytics; fuelcellenergy.com,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