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FERG</w:t>
      </w:r>
      <w:r>
        <w:rPr>
          <w:rFonts w:ascii="Calibri" w:hAnsi="Calibri"/>
          <w:b/>
          <w:color w:val="1A2010"/>
          <w:sz w:val="40"/>
        </w:rPr>
        <w:t xml:space="preserve">  Ferguson Enterprises Inc.</w:t>
      </w:r>
    </w:p>
    <w:p>
      <w:pPr>
        <w:spacing w:after="120"/>
      </w:pPr>
      <w:r>
        <w:rPr>
          <w:rFonts w:ascii="Calibri" w:hAnsi="Calibri"/>
          <w:b/>
          <w:color w:val="6E8450"/>
          <w:sz w:val="18"/>
        </w:rPr>
        <w:t>GROWTH SLEEVE · 2026-09-24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NYSE · United States</w:t>
      </w:r>
    </w:p>
    <w:p>
      <w:pPr>
        <w:spacing w:after="80"/>
      </w:pPr>
      <w:r>
        <w:rPr>
          <w:rFonts w:ascii="Calibri" w:hAnsi="Calibri"/>
          <w:b w:val="0"/>
          <w:color w:val="3A4A28"/>
          <w:sz w:val="20"/>
        </w:rPr>
        <w:t>Ferguson Enterprises Inc. is the largest value-added distributor serving specialized professionals in North America's residential and non-residential construction market. The company distributes plumbing, HVAC, appliances, lighting, pipe, valves, fittings, and water/wastewater solutions through a network of 1,600+ branches, distribution centers, showrooms, and e-commerce channels. Q2 2026 revenue of $8.8B (+4.6% YoY) was driven by 8% non-residential growth on data center and large capital projects, while full-year 2026 guidance was raised to mid-single-digit growth. Formerly part of Ferguson plc (UK), redomiciled and listed on NYSE in 2022.</w:t>
      </w:r>
    </w:p>
    <w:p>
      <w:r>
        <w:rPr>
          <w:rFonts w:ascii="Calibri" w:hAnsi="Calibri"/>
          <w:b/>
          <w:color w:val="6E8450"/>
          <w:sz w:val="18"/>
        </w:rPr>
        <w:t>35,000 Employees · https://www.corporate.ferguson.com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Ferguson has incrementally expanded its distribution model through acquisitions (contributing ~1% annually to revenue growth) and digital capabilities including e-commerce and virtual design/fabrication services, but has not executed a transformational pivot — the core business model of physical distribution has been consistent for 70+ years [1]. AI Deployment (1/2): Ferguson has established an innovation lab and Global Capability Center in India investing in AI, machine learning, and IoT to enhance supply chain optimization, pricing, and customer experience, though specific AI-driven cost savings or revenue impact have not been quantified [2]. Market Share (2/2): Ferguson is the undisputed #1 North American distributor of plumbing and HVAC products with $31B+ in annual net sales, dominant market share in specialized professional channels, and consistent share gains through acquisition and organic growth — Q2 2026 non-residential revenue grew 8% on large capital projects including data centers [1][3]. Product Pipeline (1/2): The Corporate Venture Capital fund and India technology hub demonstrate forward-looking investment in next-generation capabilities, with digital tools and supply chain technologies under development, though specific product launches with timelines are not articulated [2]. R&amp;D Intensity (0/1): As a distributor, Ferguson does not invest in traditional R&amp;D; technology spending focuses on digital platforms and supply chain optimization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Ferguson's purpose centers on providing essential water, air, and infrastructure solutions to specialized professionals — clear and connected to critical community needs but not distinctively aspirational or differentiating from distribution peers [2]. Community Impact (1/2): Ferguson's ESG program generated over $3B in revenue from sustainable products (20% increase), achieved a 30.7% reduction in combined Scope 1 and 2 carbon emissions versus 2019/2020 baseline (two years ahead of schedule), and incorporates ESG metrics into executive compensation [4]. However, specific charitable foundation programs with dollar amounts were not identified. Employee Retention (1/2): CEO Kevin Murphy's 27-year tenure at Ferguson (joining through family business acquisition in 1999, appointed CEO 2019) demonstrates deep institutional commitment and servant leadership philosophy [2]. Executive team earned a Top 25% rating (B grade) from employees on Comparably. However, some Glassdoor reviews at individual locations cite inconsistent management quality across the 35,000-employee organization. Insider Buying (0/2): No evidence of meaningful net insider purchases by executives in the last 12 months. Recent insider selling has been reported.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on growth-stock metrics. Ferguson maintains a strong financial profile with ROE of 31.8% well above the 15% target, Forward P/E of 17.65 below the 20 target, and PEG of 1.38 indicating reasonable valuation relative to growth [3][5]. D/E of 111.1% is moderately above the 70% target but manageable for a distribution business with stable cash flows. Q2 2026 delivered revenue of $8.8B (+4.6% YoY) with adjusted diluted EPS of $3.39 (+5.3%), and full-year 2026 guidance was raised to mid-single-digit growth [3]. Growth stock weights applied: D/E 111.1% (0.82, 1x), ROE 31.8% (1.0, 2x), Rev YoY 4.6% (0.82, 1x), Rev 5yr CAGR 5% (0.67, 2x), Fwd PE 17.65 (1.0, 1x), Profit Margin 6.3% (0.32, 1x), Fwd PEG 1.38 (0.81, 2x). Weighted sum 7.91/10 = 8. The 6.3% profit margin is structurally low for distribution but the company compensates with exceptional capital efficiency (31.8% ROE) and asset-light cash generation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Ferguson exhibits mixed infinite game characteristics. The company has sustained its essential infrastructure distribution mission for 70+ years, and CEO Murphy's 27-year tenure with servant leadership philosophy demonstrates genuine institutional commitment. However, the growth strategy is primarily acquisition-driven and financially oriented, which Sinek would view as finite game tactics. The competitive language emphasizes market share gains rather than purpose advancement, and the organizational culture is inconsistent across a 35,000-employee footprint.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Ferguson's purpose of providing essential water, air, and infrastructure solutions connects to critical community needs — clean water, heating, and plumbing are genuinely essential [1]. Strategic decisions over 70+ years have consistently expanded this core mission through adjacent categories (plumbing to HVAC to waterworks to appliances) rather than diversifying away from it. The 2022 redomiciling from UK to US as a focused distributor reinforced this purposeful identity. However, the cause hasn't been articulated as a transformative vision — it reads as operational identity rather than a bold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Murphy's 27-year tenure from family business acquisition to CEO demonstrates deep organizational roots, and his servant leadership philosophy signals intentional culture building [2]. The executive team earned Top 25% employee ratings. However, mixed Glassdoor reviews reveal inconsistency across the 35,000-employee organization — some locations praised for career opportunities while others report management quality issues. The mixed signals suggest adequate but not exceptional trust across the large decentralized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Ferguson's competitive positioning emphasizes market leadership, scale advantages, and share gains. Q2 2026 earnings highlighted non-residential share gains as a primary KPI [3]. No evidence of management acknowledging competitors like Watsco, HD Supply, or Hajoca as worthy rivals whose strengths inspire self-improvement. The competitive narrative centers on maintaining dominance rather than learning from others.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separation from Ferguson plc (UK) to become a standalone U.S.-listed company was a significant structural transformation, simplifying governance and aligning the corporate domicile with the primary market [1]. The expansion into data center infrastructure and water/wastewater solutions represents meaningful market evolution. However, the core distribution business model has not fundamentally changed in decades — growth has been incremental through acquisitions and geographic expansion within the same operational template.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Ferguson's decision to separate from its UK parent and redomicile as a standalone U.S.-listed company demonstrated strategic conviction — abandoning London Stock Exchange listing and dual-domicile complexity for focused U.S. market positioning [1]. Achieving Scope 1 and 2 emissions targets two years ahead of schedule with ESG embedded in executive compensation shows commitment [4]. However, capital allocation is conventionally focused on M&amp;A, dividends, and buybacks — no evidence of costly long-term bets that sacrifice near-term earnings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Ferguson at 17.65x forward earnings is a defensive compounder with the #1 market position in a $400B+ North American plumbing and HVAC distribution market. Calendar 2025 net sales of $31.3B (+5.0%) and diluted EPS of $10.16 (+24.2%) demonstrate consistent execution, with Q2 2026 extending momentum at $8.8B revenue (+4.6%) and non-residential revenue accelerating 8% on data center and large capital project demand [1][3]. ROE of 31.8% reflects exceptional capital efficiency for a distributor, and the 33.3% payout ratio leaves ample room for share buybacks and bolt-on acquisitions. At a PEG of 1.38, the stock offers reasonable valuation for a market-leading compounder structurally immune to AI disruption that benefits from federal infrastructure spending on water systems and the AI data center buildout [3][5].</w:t>
      </w:r>
    </w:p>
    <w:p>
      <w:pPr>
        <w:spacing w:after="120"/>
      </w:pPr>
      <w:r>
        <w:rPr>
          <w:rFonts w:ascii="Calibri" w:hAnsi="Calibri"/>
          <w:b w:val="0"/>
          <w:color w:val="3A4A28"/>
          <w:sz w:val="20"/>
        </w:rPr>
        <w:t>The bear case centers on Ferguson's sensitivity to construction cyclicality and limited margin expansion potential. Revenue growth of 4.6% in Q2 2026 was below the 10% target, driven partly by acquisitions and pricing rather than organic volume growth, with the residential market remaining weak amid elevated mortgage rates [3]. The 6.3% profit margin is structurally thin for distribution and leaves little room for error during volume downturns. D/E of 111% is above the 70% target, adding balance sheet risk. The 5-year revenue CAGR of approximately 5% reflects the mature, GDP-linked nature of the building products distribution market. The 1.61% dividend yield falls below the 2% threshold for IOWN's dividend sleeve, providing minimal income support. The Inspire Impact Score of -49 (MISALIGNED) may limit allocation for faith-based investors despite strong ESG practices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Non-residential construction acceleration driven by AI data center buildout, infrastructure spending under the IIJA, and reshoring of manufacturing — non-residential revenue grew 8% in Q2 2026 with large project pipelines expanding, and full-year guidance was raised to mid-single-digit growth [3]</w:t>
      </w:r>
    </w:p>
    <w:p>
      <w:pPr>
        <w:spacing w:before="40" w:after="40"/>
        <w:ind w:left="283"/>
      </w:pPr>
      <w:r>
        <w:rPr>
          <w:rFonts w:ascii="Calibri" w:hAnsi="Calibri"/>
          <w:b/>
          <w:color w:val="4A6B25"/>
          <w:sz w:val="20"/>
        </w:rPr>
        <w:t xml:space="preserve">2. </w:t>
      </w:r>
      <w:r>
        <w:rPr>
          <w:rFonts w:ascii="Calibri" w:hAnsi="Calibri"/>
          <w:b w:val="0"/>
          <w:color w:val="3A4A28"/>
          <w:sz w:val="20"/>
        </w:rPr>
        <w:t>Residential market recovery as mortgage rates normalize could unlock significant upside — approximately 65% of Ferguson's revenue is tied to residential construction, and any housing start reversion to trend would accelerate organic growth above the current 4.6% trajectory [1]</w:t>
      </w:r>
    </w:p>
    <w:p>
      <w:pPr>
        <w:spacing w:before="40" w:after="40"/>
        <w:ind w:left="283"/>
      </w:pPr>
      <w:r>
        <w:rPr>
          <w:rFonts w:ascii="Calibri" w:hAnsi="Calibri"/>
          <w:b/>
          <w:color w:val="4A6B25"/>
          <w:sz w:val="20"/>
        </w:rPr>
        <w:t xml:space="preserve">3. </w:t>
      </w:r>
      <w:r>
        <w:rPr>
          <w:rFonts w:ascii="Calibri" w:hAnsi="Calibri"/>
          <w:b w:val="0"/>
          <w:color w:val="3A4A28"/>
          <w:sz w:val="20"/>
        </w:rPr>
        <w:t>Continued market share consolidation through disciplined M&amp;A in a highly fragmented $400B+ addressable market where Ferguson holds only ~12% share, providing a long runway for inorganic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residential construction weakness as elevated mortgage rates suppress single-family housing starts, compressing Ferguson's largest revenue segment and offsetting non-residential strength — organic volumes remain under pressure [3]</w:t>
      </w:r>
    </w:p>
    <w:p>
      <w:pPr>
        <w:spacing w:before="40" w:after="40"/>
        <w:ind w:left="283"/>
      </w:pPr>
      <w:r>
        <w:rPr>
          <w:rFonts w:ascii="Calibri" w:hAnsi="Calibri"/>
          <w:b/>
          <w:color w:val="4A6B25"/>
          <w:sz w:val="20"/>
        </w:rPr>
        <w:t xml:space="preserve">2. </w:t>
      </w:r>
      <w:r>
        <w:rPr>
          <w:rFonts w:ascii="Calibri" w:hAnsi="Calibri"/>
          <w:b w:val="0"/>
          <w:color w:val="3A4A28"/>
          <w:sz w:val="20"/>
        </w:rPr>
        <w:t>Profit margin structurally capped at ~6% for distribution, with limited operating leverage to buffer against revenue declines or cost inflation in a tight labor market [1]</w:t>
      </w:r>
    </w:p>
    <w:p>
      <w:pPr>
        <w:spacing w:before="40" w:after="40"/>
        <w:ind w:left="283"/>
      </w:pPr>
      <w:r>
        <w:rPr>
          <w:rFonts w:ascii="Calibri" w:hAnsi="Calibri"/>
          <w:b/>
          <w:color w:val="4A6B25"/>
          <w:sz w:val="20"/>
        </w:rPr>
        <w:t xml:space="preserve">3. </w:t>
      </w:r>
      <w:r>
        <w:rPr>
          <w:rFonts w:ascii="Calibri" w:hAnsi="Calibri"/>
          <w:b w:val="0"/>
          <w:color w:val="3A4A28"/>
          <w:sz w:val="20"/>
        </w:rPr>
        <w:t>Acquisition integration risk as Ferguson deploys capital across multiple bolt-on deals annually — each acquisition carries assimilation cost and execution risk that could drag on earnings and management bandwidth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Ferguson's core business of physically distributing plumbing, HVAC, and water infrastructure products to job sites is structurally immune to AI disruption. The value chain involves warehousing, logistics, technical expertise, local contractor relationships, and hands-on services (fabrication, kitting, installation support) that AI cannot replicate [1]. AI workloads actually increase demand for the physical infrastructure Ferguson distributes — data centers require HVAC, plumbing, and cooling systems, driving 8% non-residential revenue growth in Q2 2026 [3]. Building codes, regulatory complexity around water systems, and the need for physical product delivery create layers of protection. AI Opportunity (0/1): While Ferguson invests in AI through its innovation lab and India GCC for supply chain and pricing optimization, these are internal efficiency tools rather than AI products generating quantifiable external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Ferguson FY2025 Annual Results — Net Sales $31.3B (+5.0% YoY), Diluted EPS $10.16 (+24.2%), Organic Revenue Growth 4.5%, Acquisition Growth 1.0%, February 2026</w:t>
      </w:r>
    </w:p>
    <w:p>
      <w:pPr>
        <w:spacing w:before="20" w:after="20"/>
        <w:ind w:left="170"/>
      </w:pPr>
      <w:r>
        <w:rPr>
          <w:rFonts w:ascii="Calibri" w:hAnsi="Calibri"/>
          <w:b/>
          <w:color w:val="4A6B25"/>
          <w:sz w:val="15"/>
        </w:rPr>
        <w:t xml:space="preserve">2. </w:t>
      </w:r>
      <w:r>
        <w:rPr>
          <w:rFonts w:ascii="Calibri" w:hAnsi="Calibri"/>
          <w:b w:val="0"/>
          <w:color w:val="3A4A28"/>
          <w:sz w:val="17"/>
        </w:rPr>
        <w:t>Ferguson Corporate Website — Leadership Team, Innovation Lab, India Global Capability Center, Servant Leadership Philosophy, corporate.ferguson.com,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Ferguson Q2 2026 Earnings Release — Revenue $8.8B (+4.6% YoY), Non-Residential +8%, Adjusted Diluted EPS $3.39 (+5.3%), Full-Year Guidance Raised to Mid-Single-Digit Growth, June 2026</w:t>
      </w:r>
    </w:p>
    <w:p>
      <w:pPr>
        <w:spacing w:before="20" w:after="20"/>
        <w:ind w:left="170"/>
      </w:pPr>
      <w:r>
        <w:rPr>
          <w:rFonts w:ascii="Calibri" w:hAnsi="Calibri"/>
          <w:b/>
          <w:color w:val="4A6B25"/>
          <w:sz w:val="15"/>
        </w:rPr>
        <w:t xml:space="preserve">4. </w:t>
      </w:r>
      <w:r>
        <w:rPr>
          <w:rFonts w:ascii="Calibri" w:hAnsi="Calibri"/>
          <w:b w:val="0"/>
          <w:color w:val="3A4A28"/>
          <w:sz w:val="17"/>
        </w:rPr>
        <w:t>Ferguson FY2024 ESG Report — $3B+ Sustainable Product Revenue, 30.7% Emissions Reduction, ESG in Executive Compensation, corporate.ferguson.com</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FERG Key Statistics: Forward P/E 17.65x, ROE 31.8%, D/E 111.1%, PEG 1.38, Stock Price $221.17,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