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FE</w:t>
      </w:r>
      <w:r>
        <w:rPr>
          <w:rFonts w:ascii="Calibri" w:hAnsi="Calibri"/>
          <w:b/>
          <w:color w:val="1A2010"/>
          <w:sz w:val="40"/>
        </w:rPr>
        <w:t xml:space="preserve">  FirstEnergy Corp.</w:t>
      </w:r>
    </w:p>
    <w:p>
      <w:pPr>
        <w:spacing w:after="120"/>
      </w:pPr>
      <w:r>
        <w:rPr>
          <w:rFonts w:ascii="Calibri" w:hAnsi="Calibri"/>
          <w:b/>
          <w:color w:val="6E8450"/>
          <w:sz w:val="18"/>
        </w:rPr>
        <w:t>DIVIDEND SLEEVE · 2026-10-21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NYQ · United States</w:t>
      </w:r>
    </w:p>
    <w:p>
      <w:pPr>
        <w:spacing w:after="80"/>
      </w:pPr>
      <w:r>
        <w:rPr>
          <w:rFonts w:ascii="Calibri" w:hAnsi="Calibri"/>
          <w:b w:val="0"/>
          <w:color w:val="3A4A28"/>
          <w:sz w:val="20"/>
        </w:rPr>
        <w:t>FirstEnergy is a regulated electric utility operating distribution, integrated, and stand-alone transmission segments across Ohio, Pennsylvania, New Jersey, West Virginia, Maryland, and New York. The company operates 252,959 distribution line miles and 24,157 transmission line miles, serving approximately 6 million customers. FirstEnergy reported H1 2026 GAAP earnings of $693M ($1.20/share) on $7.9B revenue, reaffirmed 2026 Core EPS guidance of $2.62-$2.82, and has contracted 6.4 GW of data center demand. Founded in 1996 and headquartered in Akron, Ohio.</w:t>
      </w:r>
    </w:p>
    <w:p>
      <w:r>
        <w:rPr>
          <w:rFonts w:ascii="Calibri" w:hAnsi="Calibri"/>
          <w:b/>
          <w:color w:val="6E8450"/>
          <w:sz w:val="18"/>
        </w:rPr>
        <w:t>11,186 Employees · https://www.firstenergycorp.com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FirstEnergy's primary development in the last 5 years has been organizational recovery from the HB 6 bribery scandal and launching the $36B Energize365 capital investment program for grid modernization through 2030 [1]. While significant in scale, this is standard regulated utility capital deployment rather than product innovation or business model transformation. AI Deployment (0/2): FirstEnergy announced a grid modernization strategy incorporating AI technology and smart infrastructure as part of a reported $28B plan with $15B dedicated to Pennsylvania operations, but no measurable AI-driven efficiency gains or AI products have been reported [2]. Market Share (1/2): As a regulated monopoly, FirstEnergy doesn't compete for traditional market share, but has successfully contracted 6.4 GW of data center demand with West Virginia demand surging 137% to 4.3 GW — a meaningful growth vector for a utility [1]. Product Pipeline (1/2): The Energize365 program implies 10% compounded annual rate base growth through 2030, backed by $6B in 2026 capital investment, plus West Virginia base rate case filings and Ohio distribution proposals of nearly $800M annually [1]. R&amp;D Intensity (0/1): Utilities do not conduct traditional R&amp;D; capital investment is regulatory-mandated infrastructure rather than innovation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FirstEnergy's stated aspiration is to be a 'premier electric utility,' a generic goal interchangeable with virtually any peer [2]. The post-scandal emphasis on building a 'culture of integrity' is necessary rebuilding rather than inspiring purpose, and the HB 6 bribery scandal fundamentally undermined whatever mission credibility existed — the company's senior leadership was fired for corrupting the political process to bail out failing coal plants [3]. Community Impact (1/2): FirstEnergy serves approximately 6 million customers with essential electricity across six states, and the $36B Energize365 program will modernize critical grid infrastructure [1]. However, the $230M criminal fine and deferred prosecution agreement for the bribery scandal significantly damaged community trust, and ESG-focused investor Pictet divested citing legal and climate concerns [3]. Employee Retention (0/2): No publicly available voluntary turnover data or employee tenure statistics found. Insider Buying (0/2): No evidence of net insider buying by CEO Brian Tierney or other executives found in search results.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FirstEnergy's financial profile reflects typical regulated utility economics: D/E of 200.9% (score 0.43) is high but standard for capital-intensive utilities carrying $29B in total debt, while ROE of 9.5% (score 0.63) sits below the 15% target but is typical for regulated returns [1]. Revenue growth of 8.8% YoY (score 0.96) is above-average for utilities driven by rate base expansion and data center demand, with 5-year revenue CAGR of approximately 7.0% (score 0.80). Forward P/E of 15.5 is attractive (score 1.0), but profit margin of 6.9% (score 0.35) reflects the capital-intensive regulated model. Dividend metrics are mixed: 25+ consecutive years paid (score 1.0, 2x weight) but only 4 consecutive years of growth (score 0.40) after the post-scandal dividend freeze, with a 96.3% payout ratio near the 100% floor (score 0.06) and 5-year dividend growth CAGR of 3.3% (score 0.55, 2x weight). Daily dollar volume of $199M provides adequate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FirstEnergy's infinite game score is severely impaired by the HB 6 bribery scandal, which revealed fundamentally finite thinking at the highest levels of the organization — senior executives chose to corrupt the political process to bail out failing coal and nuclear plants rather than adapt to changing energy markets. While new CEO Brian Tierney (since June 2023) is rebuilding with a $36B Energize365 capital plan and 6.4 GW of data center demand growth, the institutional scar of the largest bribery scandal in Ohio history remains a defining characteristic of the company's culture and governance track record.</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FirstEnergy does not articulate a Just Cause. The company's stated aspiration to be a 'premier electric utility' is a competitive goal, not a vision of a better future [2]. The HB 6 bribery scandal — where senior executives funneled $60M+ in dark money to corrupt Ohio's legislature for a coal and nuclear plant bailout — demonstrated that leadership's actual cause was preserving the status quo at any cost, the antithesis of infinite game thinking [3]. No amount of post-scandal 'culture of integrity' messaging constitutes a Just Cause until it's validated by years of consistent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bribery scandal destroyed organizational trust both internally and externally, with senior executives fired and the company entering a deferred prosecution agreement [3]. New leadership under CEO Brian Tierney (appointed June 2023, became board chair January 2025) has been stabilizing the organization, and the 11,186 employees continue to deliver essential utility services across six states [1][2]. The organizational structure appears stable under the new regime, but the trust deficit from the scandal will take years to fully repair.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HB 6 scandal revealed a 'win at any cost' competitive mindset — rather than competing on merit by adapting to changing energy markets, FirstEnergy's former leadership chose to rig the political system to preserve its failing coal and nuclear plants [3]. Under new leadership, the company has pivoted to data center demand growth and grid modernization, but no evidence of management commentary acknowledging competitors' strengths or learning from peers has surfaced.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FirstEnergy's defining moment of inflexibility was the HB 6 scandal itself — when faced with uneconomic coal and nuclear plants in a changing energy market, the company lobbied and bribed its way to a legislative bailout rather than pivoting its generation strategy [3]. In 2023, the company was reportedly considering re-acquiring a West Virginia coal plant it had previously spun off, potentially increasing coal-fired capacity by 40%. The $36B Energize365 grid modernization program shows some adaptation, but is driven by regulatory mandates and data center demand rather than proactive strategic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New CEO Brian Tierney has committed $36B in capital investment through the Energize365 program and positioned the company to capture 6.4 GW of data center demand in West Virginia, representing genuine long-term investment [1]. The $6B annual capex in 2026 and pursuit of rate base growth near the top end of the 6-8% long-term target show willingness to invest for future capability. However, this investment is largely driven by regulatory frameworks and data center customer contracts rather than contrarian bets against short-term pressure.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FirstEnergy at $45.72 with a $26.5B market cap is a regulated utility in recovery mode, rebuilding after the HB 6 bribery scandal while positioning for data-center-driven demand growth — H1 2026 GAAP earnings reached $693M ($1.20/share) on $7.9B revenue, with Core EPS guidance reaffirmed at $2.62-$2.82 for 2026 [1]. The $36B Energize365 capital program implies 10% annual rate base growth through 2030, and 6.4 GW of contracted data center demand (WV up 137% to 4.3 GW) provides a secular growth vector rare among regulated utilities. Forward P/E of 15.5x with a 4.07% dividend yield offers attractive income for a utility expected to deliver 6-8% Core EPS growth through 2030, and the transmission segment's 22% rate base growth in Q2 demonstrates the capital deployment thesis is working [1].</w:t>
      </w:r>
    </w:p>
    <w:p>
      <w:pPr>
        <w:spacing w:after="120"/>
      </w:pPr>
      <w:r>
        <w:rPr>
          <w:rFonts w:ascii="Calibri" w:hAnsi="Calibri"/>
          <w:b w:val="0"/>
          <w:color w:val="3A4A28"/>
          <w:sz w:val="20"/>
        </w:rPr>
        <w:t>The bear case centers on financial fragility, governance risk, and stretched dividend sustainability. D/E of 200.9% with $29B total debt against only $63M cash leaves minimal balance sheet flexibility, and the 96.3% payout ratio means virtually every dollar of earnings goes to dividends, leaving no cushion for earnings misses [1]. The bribery scandal — resulting in $230M in criminal fines, fired executives, and a deferred prosecution agreement — represents a governance failure that took years to remediate and continues to shadow the company through ESG-focused investor divestments like Pictet's exit [3]. Negative free cash flow of -$2.0B in the TTM period reflects the massive capital investment program that requires continued access to debt markets. The company's 6.9% profit margin ranks among the lowest of regulated utilities, and the concentration of data center demand in West Virginia (4.3 GW of 6.4 GW total) creates geographic and customer concentration risk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demand growth — 6.4 GW contracted with West Virginia surging 137% to 4.3 GW, providing a secular demand driver as AI workloads require massive electricity infrastructure that directly benefits regulated utilities [1]</w:t>
      </w:r>
    </w:p>
    <w:p>
      <w:pPr>
        <w:spacing w:before="40" w:after="40"/>
        <w:ind w:left="283"/>
      </w:pPr>
      <w:r>
        <w:rPr>
          <w:rFonts w:ascii="Calibri" w:hAnsi="Calibri"/>
          <w:b/>
          <w:color w:val="4A6B25"/>
          <w:sz w:val="20"/>
        </w:rPr>
        <w:t xml:space="preserve">2. </w:t>
      </w:r>
      <w:r>
        <w:rPr>
          <w:rFonts w:ascii="Calibri" w:hAnsi="Calibri"/>
          <w:b w:val="0"/>
          <w:color w:val="3A4A28"/>
          <w:sz w:val="20"/>
        </w:rPr>
        <w:t>Energize365 $36B capital program driving 10% compounded annual rate base growth through 2030, with transmission rate base already growing 22% and supporting long-term Core EPS growth near the top of the 6-8% target range [1]</w:t>
      </w:r>
    </w:p>
    <w:p>
      <w:pPr>
        <w:spacing w:before="40" w:after="40"/>
        <w:ind w:left="283"/>
      </w:pPr>
      <w:r>
        <w:rPr>
          <w:rFonts w:ascii="Calibri" w:hAnsi="Calibri"/>
          <w:b/>
          <w:color w:val="4A6B25"/>
          <w:sz w:val="20"/>
        </w:rPr>
        <w:t xml:space="preserve">3. </w:t>
      </w:r>
      <w:r>
        <w:rPr>
          <w:rFonts w:ascii="Calibri" w:hAnsi="Calibri"/>
          <w:b w:val="0"/>
          <w:color w:val="3A4A28"/>
          <w:sz w:val="20"/>
        </w:rPr>
        <w:t>Rate case outcomes in West Virginia ($1B rate base increase filing) and Ohio (proposed 15% increase to $800M annual distribution investment) could unlock additional earnings growth and regulatory-approved returns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Near-100% payout ratio at 96.3% provides zero dividend safety cushion — any earnings shortfall from weather, regulatory disallowance, or operational issues would immediately threaten the $1.86/share annual dividend that yields 4.07% [1]</w:t>
      </w:r>
    </w:p>
    <w:p>
      <w:pPr>
        <w:spacing w:before="40" w:after="40"/>
        <w:ind w:left="283"/>
      </w:pPr>
      <w:r>
        <w:rPr>
          <w:rFonts w:ascii="Calibri" w:hAnsi="Calibri"/>
          <w:b/>
          <w:color w:val="4A6B25"/>
          <w:sz w:val="20"/>
        </w:rPr>
        <w:t xml:space="preserve">2. </w:t>
      </w:r>
      <w:r>
        <w:rPr>
          <w:rFonts w:ascii="Calibri" w:hAnsi="Calibri"/>
          <w:b w:val="0"/>
          <w:color w:val="3A4A28"/>
          <w:sz w:val="20"/>
        </w:rPr>
        <w:t>Governance overhang from the HB 6 bribery scandal — the largest corruption case in Ohio history resulted in $230M in fines, fired executives, and a deferred prosecution agreement that continues to drive ESG-focused investor divestment and reputational damage [3]</w:t>
      </w:r>
    </w:p>
    <w:p>
      <w:pPr>
        <w:spacing w:before="40" w:after="40"/>
        <w:ind w:left="283"/>
      </w:pPr>
      <w:r>
        <w:rPr>
          <w:rFonts w:ascii="Calibri" w:hAnsi="Calibri"/>
          <w:b/>
          <w:color w:val="4A6B25"/>
          <w:sz w:val="20"/>
        </w:rPr>
        <w:t xml:space="preserve">3. </w:t>
      </w:r>
      <w:r>
        <w:rPr>
          <w:rFonts w:ascii="Calibri" w:hAnsi="Calibri"/>
          <w:b w:val="0"/>
          <w:color w:val="3A4A28"/>
          <w:sz w:val="20"/>
        </w:rPr>
        <w:t>Balance sheet leverage at 200.9% D/E with $29B total debt and negative free cash flow of -$2.0B requires sustained capital market access — any disruption in credit markets or rating downgrades would significantly impair the company's ability to fund its $6B annual capex program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Electrical distribution and transmission infrastructure is physically immune to AI disruption — AI cannot replace power lines, substations, or the physical delivery of electricity to homes and businesses [1]. FirstEnergy's regulated monopoly position in its service territories provides additional structural protection, as customers cannot switch providers regardless of technological disruption. More significantly, AI is a direct demand driver for FirstEnergy's business: the company has contracted 6.4 GW of data center demand, with West Virginia alone surging 137% to 4.3 GW, as hyperscale data centers driving AI workloads require massive amounts of electricity [1]. AI data center buildout is among the most powerful secular tailwinds for regulated utilities. AI Opportunity (0/1): While AI drives incremental electricity demand through data centers, FirstEnergy does not generate direct revenue from AI products or services — the company is an indirect AI beneficiary through increased electricity consumption rather than an AI vendor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FirstEnergy Q2 2026 Earnings Release — GAAP Earnings $288M ($0.50/share), Revenue $3.7B, H1 Core EPS $1.22, 2026 Guidance $2.62-$2.82, 6.4 GW Data Center Demand, July 2026</w:t>
      </w:r>
    </w:p>
    <w:p>
      <w:pPr>
        <w:spacing w:before="20" w:after="20"/>
        <w:ind w:left="170"/>
      </w:pPr>
      <w:r>
        <w:rPr>
          <w:rFonts w:ascii="Calibri" w:hAnsi="Calibri"/>
          <w:b/>
          <w:color w:val="4A6B25"/>
          <w:sz w:val="15"/>
        </w:rPr>
        <w:t xml:space="preserve">2. </w:t>
      </w:r>
      <w:r>
        <w:rPr>
          <w:rFonts w:ascii="Calibri" w:hAnsi="Calibri"/>
          <w:b w:val="0"/>
          <w:color w:val="3A4A28"/>
          <w:sz w:val="17"/>
        </w:rPr>
        <w:t>FirstEnergy Leadership and AI Strategy — CEO Brian Tierney (since June 2023, Board Chair Jan 2025), $28B Grid Modernization with AI Technology, Energize365 Program, 2026</w:t>
      </w:r>
    </w:p>
    <w:p>
      <w:pPr>
        <w:spacing w:before="20" w:after="20"/>
        <w:ind w:left="170"/>
      </w:pPr>
      <w:r>
        <w:rPr>
          <w:rFonts w:ascii="Calibri" w:hAnsi="Calibri"/>
          <w:b/>
          <w:color w:val="4A6B25"/>
          <w:sz w:val="15"/>
        </w:rPr>
        <w:t xml:space="preserve">3. </w:t>
      </w:r>
      <w:r>
        <w:rPr>
          <w:rFonts w:ascii="Calibri" w:hAnsi="Calibri"/>
          <w:b w:val="0"/>
          <w:color w:val="3A4A28"/>
          <w:sz w:val="17"/>
        </w:rPr>
        <w:t>FirstEnergy ESG and Governance — HB 6 Bribery Scandal $230M Fine, Pictet Clean Energy Divestment, Coal Plant Controversies, Ohio Capital Journal and Capitol Forum,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