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FFBC</w:t>
      </w:r>
      <w:r>
        <w:rPr>
          <w:rFonts w:ascii="Calibri" w:hAnsi="Calibri"/>
          <w:b/>
          <w:color w:val="1A2010"/>
          <w:sz w:val="40"/>
        </w:rPr>
        <w:t xml:space="preserve">  First Financial Bancorp.</w:t>
      </w:r>
    </w:p>
    <w:p>
      <w:pPr>
        <w:spacing w:after="120"/>
      </w:pPr>
      <w:r>
        <w:rPr>
          <w:rFonts w:ascii="Calibri" w:hAnsi="Calibri"/>
          <w:b/>
          <w:color w:val="6E8450"/>
          <w:sz w:val="18"/>
        </w:rPr>
        <w:t>DIVIDEND SLEEVE · 2026-10-01 · Inspire: 28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First Financial Bancorp is a Cincinnati-based regional bank holding company operating approximately 150 banking centers across Ohio, Indiana, Kentucky, and Illinois. The company provides commercial banking, retail banking, wealth management, and mortgage services. Q2 2026 net income was $76.5M ($0.73 EPS) on revenue of $256.0M (up 18.2% YoY), with management citing a 20% return on tangible common equity. First Financial increased its quarterly dividend to $0.26/share in Q2 2026 and announced the acquisition of Finward Bancorp.</w:t>
      </w:r>
    </w:p>
    <w:p>
      <w:r>
        <w:rPr>
          <w:rFonts w:ascii="Calibri" w:hAnsi="Calibri"/>
          <w:b/>
          <w:color w:val="6E8450"/>
          <w:sz w:val="18"/>
        </w:rPr>
        <w:t>2,200 Employees · https://www.bankatfirst.com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First Financial Bancorp completed its transformative merger with MainSource Financial Group in 2018, approximately doubling the franchise, and has now announced the acquisition of Finward Bancorp in Q2 2026 to further expand its regional footprint [1][3]. However, these are conventional M&amp;A-driven growth strategies, not product innovation or business model transformation. The core community banking model remains unchanged. AI Deployment (0/2): No evidence of AI products or measurable AI-driven operational improvements specific to First Financial Bancorp [2]. The bank has not publicly discussed AI deployment in lending, customer service, or risk management beyond general industry trends. Market Share (1/2): First Financial holds meaningful regional market share across Cincinnati/Ohio/Indiana/Kentucky with approximately 150 banking centers, and the Finward Bancorp acquisition strengthens its Indiana presence [1]. Not a dominant player nationally, but a solid regional franchise. Product Pipeline (0/2): No specific next-generation banking products with defined timelines have been announced; the Finward acquisition is the primary strategic initiative [1]. R&amp;D Intensity (0/1): Banks do not typically report R&amp;D spending, and no technology investment data specific to First Financial is available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First Financial Bancorp's ALIVE strategy framework (Aspire, Lead, Innovate, Value, Excel) provides a thoughtful organizational purpose connected to community banking and corporate responsibility [3]. The bank's Corporate Social Responsibility page articulates commitment to community development and responsible banking, but the mission is not distinctively different from other community banks. Community Impact (1/2): The ALIVE strategy incorporates community investment, corporate social responsibility, and community service as core strategic pillars, with an executive Corporate Responsibility Committee overseeing ESG initiatives since 2020 [3]. However, no specific dollar amounts for community investment or charitable programs were found. Employee Retention (1/2): Glassdoor culture rating of 4.2/5 with 76% employee recommendation rate and 85% CEO approval for Archie Brown are above average for regional banking [2]. The stable leadership since the 2018 MainSource merger and work-life balance rating of 4.1/5 suggest a positive workplace environment, though some reviews note middle management concerns. Insider Buying (0/2): No evidence of meaningful net insider buying by CEO Archie Brown or other executives in the last 12 months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stock; D/E and Revenue Growth 5yr CAGR unavailable). Daily dollar volume of approximately $29.5M ($31.32 x 942K shares) provides ample liquidity [4]. Forward P/E of 8.88 is well below the 20 target, scoring 1.0 [4]. Revenue growth YoY of 16.5% exceeds the 10% target, scoring 1.0 [1][4]. Profit margin of 29.9% exceeds the 20% target, scoring 1.0 [4]. ROE of 10.3% (note: ROTCE is 20%) scores 0.69 against the 15% target [1][4]. Payout ratio of approximately 37% ($1.04 annual dividend / ~$2.83 EPS) is below the 40% target, scoring 1.0 [1]. Consecutive years paid: 43 years, scoring 1.0 (2x weight) [4]. Consecutive years growth: estimated 3 years (recent increases from $0.24 to $0.25 to $0.26), scoring 0.3 [1][4]. 5yr dividend growth CAGR: estimated 2.5% (from ~$0.92 to $1.04 annual), scoring 0.42 (2x weight) [4]. Weighted sum: (1x0.69)+(1x1.0)+(1x1.0)+(1x1.0)+(1x1.0)+(2x1.0)+(1x0.3)+(2x0.42)=7.83. Max weight: 10. Infrastructure: round(7.83/10x10)=8.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First Financial Bancorp's 160+ year operating history and 43 consecutive years of dividend payments demonstrate genuine long-game endurance. CEO Archie Brown's stable leadership since the 2018 MainSource merger, the ALIVE strategy framework incorporating community responsibility, and above-average employee culture ratings reflect an organization playing to keep playing. However, the strategic approach is conventional M&amp;A-driven growth (MainSource 2018, Finward 2026) rather than purpose-driven innovation, and the bank operates within standard regional banking patterns without distinctive infinite-game characteristics.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First Financial Bancorp's 160+ year community banking heritage in Ohio/Indiana/Kentucky and its ALIVE strategy framework demonstrate genuine purpose beyond profit maximization [3]. The bank's commitment to community development, responsible lending, and corporate social responsibility — formalized through an executive Corporate Responsibility Committee since 2020 — connects daily operations to community welfare [3]. The 43-year unbroken dividend record reflects enduring commitment to shareholders. However, the purpose is not distinctively transformative — it is the standard community banking model, well-executed but not unique.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ratings of 4.2/5 for culture and values, 76% employee recommendation rate, and 85% CEO approval for Archie Brown are meaningfully above average for regional banking [2]. Employees describe a positive work environment with good work-life balance (4.1/5). CEO Brown has provided stable, consistent leadership since the 2018 MainSource merger, avoiding the disruptive leadership transitions that plague many banks. However, some employees note middle management concerns and leadership disconnection from ground-level operations.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learning-oriented competitive mindset in management commentary [1]. First Financial's competitive language focuses on market share expansion through acquisitions (MainSource, Finward) rather than acknowledging specific rival strengths or using competitive pressure for self-improvement. The M&amp;A approach is a conventional 'grow bigger' strategy rather than a response to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2018 MainSource Financial Group merger was a significant strategic combination that reshaped First Financial's franchise, approximately doubling its size and expanding into new markets [1]. The 2026 Finward Bancorp acquisition continues this strategic evolution. The ALIVE strategy framework shows willingness to evolve the organizational approach. These moves demonstrate incremental flexibility and strategic adaptation, though not transformative reinvention — the core community banking model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Brown invested in the ALIVE transformation strategy to modernize the bank's community banking approach, and the decision to pursue the Finward Bancorp acquisition during 2026 represents meaningful capital deployment for long-term franchise building rather than short-term earnings optimization [1]. The board increased the quarterly dividend to $0.26 from $0.25, demonstrating confidence in sustainable profitability (20% ROTCE). However, these are conventional banking decisions rather than particularly courageous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Financial Bancorp at 8.9x forward earnings with a 3.3% dividend yield, 43 consecutive years of payments, and 20% ROTCE represents a well-managed regional banking franchise in the attractive Cincinnati/Ohio/Indiana markets [1][4]. Q2 2026 revenue of $256M grew 18.2% YoY with net income of $76.5M ($0.73 EPS), and the dividend was increased to $0.26/quarter signaling management confidence in sustainable profitability [1]. The Finward Bancorp acquisition extends the franchise into adjacent Indiana markets, continuing the successful M&amp;A strategy that began with the 2018 MainSource merger. The Inspire Impact Score of 28 (ALIGNED) with five positive ESG attributions and zero negative marks reflects the community banking mission. Profit margin of 29.9% and a payout ratio of 37% provide both earnings quality and dividend headroom.</w:t>
      </w:r>
    </w:p>
    <w:p>
      <w:pPr>
        <w:spacing w:after="120"/>
      </w:pPr>
      <w:r>
        <w:rPr>
          <w:rFonts w:ascii="Calibri" w:hAnsi="Calibri"/>
          <w:b w:val="0"/>
          <w:color w:val="3A4A28"/>
          <w:sz w:val="20"/>
        </w:rPr>
        <w:t>The bear case centers on sector headwinds and growth sustainability. ROE of 10.3% is below the 15% target for banks, and the 0% earnings growth from yfinance suggests margin compression risk despite revenue growth [4]. The regional banking sector faces structural pressure from AI-powered fintech competitors (SoFi, Upstart, Chime) that can offer competitive rates with lower overhead than 150 physical banking centers [2]. The 5-year dividend growth CAGR of approximately 2.5% trails inflation, and consecutive years of dividend growth is only 3 years — the bank held dividends flat during 2020-2022, suggesting vulnerability to economic cyclicality. The Finward Bancorp acquisition introduces integration risk and could dilute near-term earnings. With a $3.3B market cap, the bank lacks the scale advantages of larger regional peers (Fifth Third, Huntington) competing in the same Ohio/Indiana markets. Interest rate sensitivity is inherent to the business model — a rapid rate decline could compress net interest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Finward Bancorp acquisition closes and generates the expected cost synergies and deposit growth, extending the franchise into adjacent Indiana markets and continuing the successful M&amp;A playbook from the 2018 MainSource merger [1]</w:t>
      </w:r>
    </w:p>
    <w:p>
      <w:pPr>
        <w:spacing w:before="40" w:after="40"/>
        <w:ind w:left="283"/>
      </w:pPr>
      <w:r>
        <w:rPr>
          <w:rFonts w:ascii="Calibri" w:hAnsi="Calibri"/>
          <w:b/>
          <w:color w:val="4A6B25"/>
          <w:sz w:val="20"/>
        </w:rPr>
        <w:t xml:space="preserve">2. </w:t>
      </w:r>
      <w:r>
        <w:rPr>
          <w:rFonts w:ascii="Calibri" w:hAnsi="Calibri"/>
          <w:b w:val="0"/>
          <w:color w:val="3A4A28"/>
          <w:sz w:val="20"/>
        </w:rPr>
        <w:t>Forward P/E of 8.9x with 20% ROTCE implies significant discount to intrinsic value — any sustained revenue growth above 15% could drive multiple expansion toward regional bank peers trading at 10-12x [1][4]</w:t>
      </w:r>
    </w:p>
    <w:p>
      <w:pPr>
        <w:spacing w:before="40" w:after="40"/>
        <w:ind w:left="283"/>
      </w:pPr>
      <w:r>
        <w:rPr>
          <w:rFonts w:ascii="Calibri" w:hAnsi="Calibri"/>
          <w:b/>
          <w:color w:val="4A6B25"/>
          <w:sz w:val="20"/>
        </w:rPr>
        <w:t xml:space="preserve">3. </w:t>
      </w:r>
      <w:r>
        <w:rPr>
          <w:rFonts w:ascii="Calibri" w:hAnsi="Calibri"/>
          <w:b w:val="0"/>
          <w:color w:val="3A4A28"/>
          <w:sz w:val="20"/>
        </w:rPr>
        <w:t>Continued quarterly dividend increases ($0.24 to $0.25 to $0.26 in recent quarters) signal accelerating dividend growth that could attract income-oriented investors and compress the yield premium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fintech competitors (SoFi, Upstart, Chime) are structurally competing for consumer deposits and lending with lower overhead than First Financial's 150 physical branches, potentially compressing retail banking margins over time [2]</w:t>
      </w:r>
    </w:p>
    <w:p>
      <w:pPr>
        <w:spacing w:before="40" w:after="40"/>
        <w:ind w:left="283"/>
      </w:pPr>
      <w:r>
        <w:rPr>
          <w:rFonts w:ascii="Calibri" w:hAnsi="Calibri"/>
          <w:b/>
          <w:color w:val="4A6B25"/>
          <w:sz w:val="20"/>
        </w:rPr>
        <w:t xml:space="preserve">2. </w:t>
      </w:r>
      <w:r>
        <w:rPr>
          <w:rFonts w:ascii="Calibri" w:hAnsi="Calibri"/>
          <w:b w:val="0"/>
          <w:color w:val="3A4A28"/>
          <w:sz w:val="20"/>
        </w:rPr>
        <w:t>ROE of 10.3% is below the 15% target and 0% earnings growth suggests margin pressure — despite 18% revenue growth, profitability is not expanding proportionally, which could constrain future dividend increases [4]</w:t>
      </w:r>
    </w:p>
    <w:p>
      <w:pPr>
        <w:spacing w:before="40" w:after="40"/>
        <w:ind w:left="283"/>
      </w:pPr>
      <w:r>
        <w:rPr>
          <w:rFonts w:ascii="Calibri" w:hAnsi="Calibri"/>
          <w:b/>
          <w:color w:val="4A6B25"/>
          <w:sz w:val="20"/>
        </w:rPr>
        <w:t xml:space="preserve">3. </w:t>
      </w:r>
      <w:r>
        <w:rPr>
          <w:rFonts w:ascii="Calibri" w:hAnsi="Calibri"/>
          <w:b w:val="0"/>
          <w:color w:val="3A4A28"/>
          <w:sz w:val="20"/>
        </w:rPr>
        <w:t>Regional bank concentration in Ohio/Indiana/Kentucky exposes the portfolio to local economic cyclicality, and the Finward acquisition introduces integration risk and potential near-term earnings dilution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First Financial Bancorp's core business — commercial and retail banking with approximately 150 physical branches — has meaningful defensive moats against AI disruption [1]. Regulatory requirements (bank charter, FDIC insurance, compliance frameworks), deep local commercial banking relationships, and trust-intensive services (wealth management, commercial lending) create structural barriers that AI fintech cannot easily replicate [3]. The Finward Bancorp acquisition further deepens the physical banking franchise. However, AI-powered fintech platforms (SoFi, Upstart, Chime) are actively competing for consumer banking deposits and lending, and AI-driven credit decisioning may gradually reduce the value of traditional underwriting expertise. The bank's regional consumer banking could face margin pressure from digital alternatives. AI Opportunity (0/1): No AI-related revenue or products. First Financial has not publicly deployed AI-powered products for customers or reported measurable AI operational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Financial Bancorp Q1 and Q2 FY2026 Earnings Releases — SEC 8-K Filings, NASDAQ Press Release,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Glassdoor — First Financial Bank Reviews: 4.2/5 Culture, 76% Recommend, 85% CEO Approval, 313 Reviews,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First Financial Bancorp Corporate Social Responsibility, ALIVE Strategy, SEC 10-K/DEF 14A Filings, 2020-2026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WallStreetZen, Yahoo Finance — FFBC Key Statistics: $31.32 price, $3.29B market cap, Forward P/E 8.88, Dividend History,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