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FINV</w:t>
      </w:r>
      <w:r>
        <w:rPr>
          <w:rFonts w:ascii="Calibri" w:hAnsi="Calibri"/>
          <w:b/>
          <w:color w:val="1A2010"/>
          <w:sz w:val="40"/>
        </w:rPr>
        <w:t xml:space="preserve">  FinVolution Group</w:t>
      </w:r>
    </w:p>
    <w:p>
      <w:pPr>
        <w:spacing w:after="120"/>
      </w:pPr>
      <w:r>
        <w:rPr>
          <w:rFonts w:ascii="Calibri" w:hAnsi="Calibri"/>
          <w:b/>
          <w:color w:val="6E8450"/>
          <w:sz w:val="18"/>
        </w:rPr>
        <w:t>DIVIDEND SLEEVE · 2026-10-21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NYQ · China</w:t>
      </w:r>
    </w:p>
    <w:p>
      <w:pPr>
        <w:spacing w:after="80"/>
      </w:pPr>
      <w:r>
        <w:rPr>
          <w:rFonts w:ascii="Calibri" w:hAnsi="Calibri"/>
          <w:b w:val="0"/>
          <w:color w:val="3A4A28"/>
          <w:sz w:val="20"/>
        </w:rPr>
        <w:t>FinVolution Group operates an AI-powered online consumer finance platform connecting borrowers with institutional lenders in China, Indonesia, the Philippines, Pakistan, and Australia. The company processes loan transactions through its ppdai.com platform and AdaKami (Indonesia), JuanHand (Philippines), and Fundo (Australia) brands. TTM revenue was approximately RMB13.2B with 14.5% profit margin, as the company navigates regulatory tightening in China while growing overseas revenue 18% YoY to RMB930M in Q2 2026. Formerly PPDAI Group, founded in 2007 and headquartered in Shanghai.</w:t>
      </w:r>
    </w:p>
    <w:p>
      <w:r>
        <w:rPr>
          <w:rFonts w:ascii="Calibri" w:hAnsi="Calibri"/>
          <w:b/>
          <w:color w:val="6E8450"/>
          <w:sz w:val="18"/>
        </w:rPr>
        <w:t>3,869 Employees · https://ir.finvgroup.com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FinVolution executed a significant business model transformation from peer-to-peer lending (PPDAI) to an institutional-funded platform connecting borrowers with bank and non-bank lenders, while expanding from China-only to five international markets — Indonesia, Philippines, Pakistan, and Australia (Fundo acquisition in 2026) [1][2]. The pivot from P2P to institutional funding was a regulatory-survival necessity that the company executed better than most Chinese fintech peers. AI Deployment (2/2): AI is the core business engine — the proprietary 'LEGO+ global platform' uses AI and big data across the full credit lifecycle for credit scoring, fraud detection, and risk pricing in each market [2]. AI agents were deployed in the service application process in Q4 2025, and R&amp;D spending rose 8% YoY in 2025, reflecting continued technology investment in what is fundamentally an AI-native business. Market Share (1/2): FinVolution is a meaningful player in China's online consumer finance market and won Extel's 'Most Honored Company' in the Non-Bank Finance sector for 2026, but domestic transaction volume fell 19.3% YoY in Q2 2026 amid regulatory tightening and industry consolidation [1][2]. Product Pipeline (1/2): International expansion to five markets provides geographic diversification pipeline, with overseas revenue growing 18% YoY to RMB930M in Q2 2026, and the Fundo acquisition opening the Australian market, though no specific next-gen products with launch timelines were named [1]. R&amp;D Intensity (1/1): R&amp;D spending increased 8% YoY in 2025, and technology is the core competitive differentiator — the LEGO+ modular tech stack enables rapid deployment into new markets at above-average investment for the credit services sector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FinVolution's purpose centers on financial inclusion and connecting underserved borrowers with institutional capital, a clear mission but generic among Chinese fintech platforms and not validated by decades of consistent execution [2]. The company rebranded from PPDAI to FinVolution in 2019, suggesting the mission framing is relatively recent. Community Impact (0/2): No evidence of specific charitable foundations, community investment programs, or distinctive philanthropic initiatives found in search results. The company publishes annual ESG reports (eighth report in 2026 per GRI Standards), but these detail compliance rather than community impact [3]. Employee Retention (0/2): No publicly available voluntary turnover rates or average employee tenure statistics for the 3,869-person workforce. Insider Buying (1/2): Co-founders Shaofeng Gu and management personally invested $1.9M in share buybacks in December 2025, a modest but meaningful signal of insider conviction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FinVolution's financial profile combines a pristine balance sheet with deeply discounted valuation: D/E of 9.4% (score 1.0) reflects minimal leverage with RMB6.4B cash against RMB1.6B debt, and Forward P/E of 3.73 (score 1.0) represents extreme value discount driven by China regulatory and VIE structure risk [1]. ROE of 11.6% (score 0.77) is adequate but below the 15% target. Revenue growth is negative at -4.9% YoY (score 0.50) as domestic loan volumes decline 19.3% amid regulatory tightening, though 5-year revenue CAGR of approximately 7% (score 0.80) captures the pre-2026 growth trajectory [1]. Profit margin of 14.5% (score 0.72) reflects compressed spreads. Dividend metrics are mixed: 8 consecutive years paid (score 0.80, 2x weight), 6 consecutive years of growth since the 2020 COVID cut (score 0.60), 5-year dividend growth CAGR of approximately 12.5% (score 1.0, 2x weight), and a low 29.2% payout ratio (score 1.0). Daily dollar volume of $2.6M passes the liquidity floor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FinVolution operates with a largely finite mindset shaped by China's volatile regulatory environment, which forces reactive adaptation rather than long-term strategic planning. The company's pivot from P2P lending to institutional-funded platform was a survival move, and its international expansion demonstrates some strategic ambition, but the lack of a deeply articulated Just Cause, frequent leadership references to quarterly metrics, and no evidence of trust-based organizational culture place it squarely in the finite game category. The founder-led structure and management buybacks show some personal commitment, but the company plays to survive in China's regulatory environment rather than to advance a durable vision.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FinVolution's purpose of providing financial access to underserved consumers through technology is genuine and has guided the international expansion to Indonesia, Philippines, Pakistan, and Australia [1][2]. However, the cause reads as a business model description rather than a transformative vision — 'we connect borrowers with lenders using AI' is operational, not inspirational. The 2019 rebrand from PPDAI to FinVolution suggests the purpose framing is relatively recent and hasn't been validated through decades of consistent execution.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employee empowerment, psychological safety, or trust-based culture was found for FinVolution's 3,869-person workforce [2]. Chinese fintech is a high-pressure, high-turnover industry, and no specific voluntary turnover data, employee satisfaction metrics, or cultural practices distinguishing FinVolution from peers were identified. The leadership structure is founder-dominated with co-founders Gu and Li holding key positions, which can centralize rather than distribute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learning from rivals, or framing competition as motivation for self-improvement was found in search results [1][2]. FinVolution's competitive communications focus on its own LEGO+ platform capabilities and market positioning rather than demonstrating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FinVolution pivoted from peer-to-peer lending to an institutional-funded platform when China's P2P crackdown threatened its existence, successfully transforming the business model while most Chinese P2P platforms failed [1]. The subsequent expansion to five international markets represents meaningful geographic diversification. However, the pivot was driven by regulatory survival rather than a proactive Just Cause, and the company is now facing a second wave of regulatory tightening with domestic volumes down 19.3% YoY.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FinVolution expanded into Indonesia, Philippines, Pakistan, and Australia (Fundo acquisition) while its domestic market faces regulatory headwinds, demonstrating willingness to invest in long-term international diversification even as China revenue declines [1][2]. Management's personal $1.9M investment in share buybacks in December 2025 signals skin-in-the-game conviction. However, the deliberate pullback in Philippines loan origination and guidance toward the lower end of 2026 revenue suggest a defensive posture rather than courageous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FinVolution at $2.90 with a $685M market cap is a deeply discounted AI-native fintech trading at 2.7x trailing and 3.7x forward earnings, offering a 10.55% dividend yield backed by a 29.2% payout ratio and $6.4B in cash against only $1.6B debt [1]. The LEGO+ global platform powers AI-driven credit scoring across five international markets, with overseas revenue growing 18% YoY to RMB930M in Q2 2026, providing a diversification path as international operations approach 30% of total revenue [1][2]. Co-founder management team personally invested $1.9M in buybacks, the company won Extel's 'Most Honored Company' in Non-Bank Finance for 2026, and the pristine balance sheet (D/E 9.4%) supports continued international expansion into Australia via the Fundo acquisition [2].</w:t>
      </w:r>
    </w:p>
    <w:p>
      <w:pPr>
        <w:spacing w:after="120"/>
      </w:pPr>
      <w:r>
        <w:rPr>
          <w:rFonts w:ascii="Calibri" w:hAnsi="Calibri"/>
          <w:b w:val="0"/>
          <w:color w:val="3A4A28"/>
          <w:sz w:val="20"/>
        </w:rPr>
        <w:t>The bear case is dominated by China regulatory risk and declining domestic fundamentals. Domestic transaction volume fell 19.3% YoY in Q2 2026 as regulatory tightening — including new fee-disclosure rules effective August 2026 — compresses the core business, with full-year 2026 revenue guidance of RMB11.5-12.9B (management expects the lower end) representing a mid-single-digit decline from FY2025's RMB13.6B [1][3]. An isolated credit incident unsettled the industry and raised concerns among funding partners about platform compliance, highlighting the fragility of the institutional-funding model. The 90-day+ delinquency ratio of 2.10% bears watching in a tightening credit environment. VIE structure risk for a Chinese company listed in the U.S. continues to weigh on valuation, and the extreme P/E discount (2.7x trailing) suggests the market prices in significant probability of permanent capital impairment from regulatory intervention, capital controls, or delisting risk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International expansion approaching 30% of revenue — overseas revenue grew 18% YoY to RMB930M in Q2 2026, with the Fundo acquisition opening Australia as a fifth market and reducing dependency on China's volatile regulatory environment [1]</w:t>
      </w:r>
    </w:p>
    <w:p>
      <w:pPr>
        <w:spacing w:before="40" w:after="40"/>
        <w:ind w:left="283"/>
      </w:pPr>
      <w:r>
        <w:rPr>
          <w:rFonts w:ascii="Calibri" w:hAnsi="Calibri"/>
          <w:b/>
          <w:color w:val="4A6B25"/>
          <w:sz w:val="20"/>
        </w:rPr>
        <w:t xml:space="preserve">2. </w:t>
      </w:r>
      <w:r>
        <w:rPr>
          <w:rFonts w:ascii="Calibri" w:hAnsi="Calibri"/>
          <w:b w:val="0"/>
          <w:color w:val="3A4A28"/>
          <w:sz w:val="20"/>
        </w:rPr>
        <w:t>Extreme valuation discount at 2.7x trailing P/E and 10.55% dividend yield — any normalization of China regulatory sentiment or VIE risk perception would drive significant re-rating from the current $685M market cap against $6.4B in cash [1]</w:t>
      </w:r>
    </w:p>
    <w:p>
      <w:pPr>
        <w:spacing w:before="40" w:after="40"/>
        <w:ind w:left="283"/>
      </w:pPr>
      <w:r>
        <w:rPr>
          <w:rFonts w:ascii="Calibri" w:hAnsi="Calibri"/>
          <w:b/>
          <w:color w:val="4A6B25"/>
          <w:sz w:val="20"/>
        </w:rPr>
        <w:t xml:space="preserve">3. </w:t>
      </w:r>
      <w:r>
        <w:rPr>
          <w:rFonts w:ascii="Calibri" w:hAnsi="Calibri"/>
          <w:b w:val="0"/>
          <w:color w:val="3A4A28"/>
          <w:sz w:val="20"/>
        </w:rPr>
        <w:t>AI agents deployment expanding from service applications (Q4 2025 launch) to broader credit lifecycle automation, with R&amp;D spending up 8% YoY supporting continued technology-led competitive advantage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regulatory tightening — domestic transaction volume fell 19.3% YoY in Q2 2026, new fee-disclosure rules took effect August 2026, and an industry credit incident raised funding-partner concerns about platform compliance, creating ongoing risk of further regulatory restrictions [1][3]</w:t>
      </w:r>
    </w:p>
    <w:p>
      <w:pPr>
        <w:spacing w:before="40" w:after="40"/>
        <w:ind w:left="283"/>
      </w:pPr>
      <w:r>
        <w:rPr>
          <w:rFonts w:ascii="Calibri" w:hAnsi="Calibri"/>
          <w:b/>
          <w:color w:val="4A6B25"/>
          <w:sz w:val="20"/>
        </w:rPr>
        <w:t xml:space="preserve">2. </w:t>
      </w:r>
      <w:r>
        <w:rPr>
          <w:rFonts w:ascii="Calibri" w:hAnsi="Calibri"/>
          <w:b w:val="0"/>
          <w:color w:val="3A4A28"/>
          <w:sz w:val="20"/>
        </w:rPr>
        <w:t>VIE structure and U.S.-China geopolitical risk — the stock's extreme P/E discount to intrinsic fundamentals reflects legitimate concerns about the enforceability of the VIE structure, potential delisting from U.S. exchanges, and Chinese capital control restrictions that could prevent value realization for foreign shareholders</w:t>
      </w:r>
    </w:p>
    <w:p>
      <w:pPr>
        <w:spacing w:before="40" w:after="40"/>
        <w:ind w:left="283"/>
      </w:pPr>
      <w:r>
        <w:rPr>
          <w:rFonts w:ascii="Calibri" w:hAnsi="Calibri"/>
          <w:b/>
          <w:color w:val="4A6B25"/>
          <w:sz w:val="20"/>
        </w:rPr>
        <w:t xml:space="preserve">3. </w:t>
      </w:r>
      <w:r>
        <w:rPr>
          <w:rFonts w:ascii="Calibri" w:hAnsi="Calibri"/>
          <w:b w:val="0"/>
          <w:color w:val="3A4A28"/>
          <w:sz w:val="20"/>
        </w:rPr>
        <w:t>Credit quality deterioration — the 90-day+ delinquency ratio of 2.10% could worsen as China's economy slows and tighter funding conditions reduce the quality of the borrower pool available to the platform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FinVolution's core business IS AI-powered credit scoring and lending facilitation, making it an AI-native company rather than one threatened by AI [2]. However, the competitive moat is technology-based rather than physically embedded, meaning other AI-native fintech platforms, traditional banks deploying AI credit models, and tech giants entering consumer finance could replicate FinVolution's capabilities. The company's proprietary data from 150M+ registered users provides some defensive moat, but China's regulatory environment — including new fee-disclosure rules effective August 2026 and periodic tightening that caused domestic volumes to fall 19.3% — creates an EXPOSED risk profile where regulation, not AI, is the primary threat to the business model [1][3]. AI Opportunity (1/1): AI is the business — the LEGO+ platform generates all revenue through AI-driven credit scoring, fraud detection, and risk pricing across five international markets, with AI agents deployed in service applications since Q4 2025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FinVolution Q2 2026 Earnings Release — Transaction Volume RMB41.0B (-19.3% YoY), Revenue RMB2,396.7M (segment), Overseas Revenue RMB930M (+18% YoY), 2026 Guidance RMB11.5-12.9B, GlobeNewswire,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FinVolution Leadership and AI Strategy — CEO Tiezheng Li (Extel Best CEO 2026), LEGO+ Platform, Fundo Acquisition, $1.9M Management Buybacks, R&amp;D +8% YoY, InvestResearch and PRNewswire, 2025-2026</w:t>
      </w:r>
    </w:p>
    <w:p>
      <w:pPr>
        <w:spacing w:before="20" w:after="20"/>
        <w:ind w:left="170"/>
      </w:pPr>
      <w:r>
        <w:rPr>
          <w:rFonts w:ascii="Calibri" w:hAnsi="Calibri"/>
          <w:b/>
          <w:color w:val="4A6B25"/>
          <w:sz w:val="15"/>
        </w:rPr>
        <w:t xml:space="preserve">3. </w:t>
      </w:r>
      <w:r>
        <w:rPr>
          <w:rFonts w:ascii="Calibri" w:hAnsi="Calibri"/>
          <w:b w:val="0"/>
          <w:color w:val="3A4A28"/>
          <w:sz w:val="17"/>
        </w:rPr>
        <w:t>FinVolution Regulatory and ESG — Fee-Disclosure Rules August 2026, Industry Credit Incident, Eighth Annual ESG Report (GRI Standards), Seeking Alpha and Motley Fool,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