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FLR</w:t>
      </w:r>
      <w:r>
        <w:rPr>
          <w:rFonts w:ascii="Calibri" w:hAnsi="Calibri"/>
          <w:b/>
          <w:color w:val="1A2010"/>
          <w:sz w:val="40"/>
        </w:rPr>
        <w:t xml:space="preserve">  Fluor Corporation</w:t>
      </w:r>
    </w:p>
    <w:p>
      <w:pPr>
        <w:spacing w:after="120"/>
      </w:pPr>
      <w:r>
        <w:rPr>
          <w:rFonts w:ascii="Calibri" w:hAnsi="Calibri"/>
          <w:b/>
          <w:color w:val="6E8450"/>
          <w:sz w:val="18"/>
        </w:rPr>
        <w:t>GROWTH SLEEVE · 2026-09-04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Engineering &amp; Construction · NYSE · United States</w:t>
      </w:r>
    </w:p>
    <w:p>
      <w:pPr>
        <w:spacing w:after="80"/>
      </w:pPr>
      <w:r>
        <w:rPr>
          <w:rFonts w:ascii="Calibri" w:hAnsi="Calibri"/>
          <w:b w:val="0"/>
          <w:color w:val="3A4A28"/>
          <w:sz w:val="20"/>
        </w:rPr>
        <w:t>Fluor Corporation provides engineering, procurement, and construction (EPC) services through three segments: Urban Solutions (advanced technologies, life sciences, mining, infrastructure), Energy Solutions (oil and gas, LNG, nuclear, energy transition), and Mission Solutions (U.S. government, nuclear remediation, defense). The company operates globally with a $26.9B backlog, was founded in 1912, and is headquartered in Irving, Texas. CEO Jim Breuer took over from David Constable (now Executive Chairman) in May 2025. Q2 2026 revenue was $4.3B (+9% YoY) with $6.1B in new awards and adjusted EBITDA of $149M.</w:t>
      </w:r>
    </w:p>
    <w:p>
      <w:r>
        <w:rPr>
          <w:rFonts w:ascii="Calibri" w:hAnsi="Calibri"/>
          <w:b/>
          <w:color w:val="6E8450"/>
          <w:sz w:val="18"/>
        </w:rPr>
        <w:t>23,000 Employees · https://www.fluor.com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Fluor has executed a multi-year strategic pivot toward high-growth end markets — nuclear energy (majority stake in NuScale Power), data center construction for hyperscalers, LNG expansion, uranium enrichment, lithium, and fertilizers — while shifting the backlog to 82% reimbursable contracts to reduce fixed-price execution risk [1][2]. Divestitures (AMECO, Stork) generated $2.5B+ in cash to fund the repositioning. Q2 2026 demonstrated a significant recovery from Q1 weakness, with revenue growing 9% YoY to $4.3B and $6.1B in new awards [2]. AI Deployment (0/2): No evidence of AI deployment in customer-facing products or quantified internal AI efficiency gains; Fluor remains a project-execution business with traditional engineering workflows [3]. Market Share (2/2): Fluor is a top-tier global EPC firm competing with Bechtel, Jacobs, and KBR for the largest infrastructure projects, with leading positions in LNG, nuclear remediation, and defense logistics [1]. Q2 2026 awards of $6.1B span gas-fueled and nuclear power, refining, data centers, mining, and midstream — demonstrating broad competitive positioning. Pipeline (1/2): The $26.9B backlog provides strong visibility with management expecting full-year 2026 book-to-bill well above 1.0, supported by acceleration across nuclear power, data centers, mining, copper, and fertilizers [2]. However, no specific next-gen products or proprietary technologies with named launch dates. R&amp;D Intensity (1/1): Fluor invests in proprietary process technology, modular construction methods, and the Fluor Fellows innovation program, positioning at or above industry average for EPC peers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Fluor's purpose is built around four core values — Safety, Teamwork, Integrity, and Excellence — with a vision of building a better world through infrastructure. After 114 years of continuous operation, the company's dedication to infrastructure is genuine, but the mission lacks specificity and aspiration that would distinguish it from peers like Bechtel or Jacobs [3]. Community Impact (1/2): Fluor directs charitable efforts toward education, public health, economic development, and environment — structured programs aligned with global operations. However, specific dollar amounts and distinctive community investments are not prominently disclosed [4]. Employee Retention (0/2): Glassdoor reviews reveal significant culture concerns — descriptions of 'toxic, abusive behavior from middle management,' a 'corporate culture that feels like high school,' 'lack of respect from senior leadership,' and insufficient headquarters support [3]. No evidence of above-average retention or employees citing purpose as a reason for staying. Insider Buying (0/2): Net insider selling in 2026 — 12 insider sales totaling $1.5M+ (CFO John Regan sold 28,762 shares for $1.5M) with zero open-market purchases in the past 6 months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reflecting significant Q2 2026 improvement over the weak Q1. Revenue of $4.3B (+9% YoY) with adjusted EBITDA of $149M (vs $96M prior year) and adjusted EPS of $0.91 (vs $0.43) demonstrate the backlog is converting to profitable revenue [2]. D/E of approximately 18% is ultra-low with substantial net cash — a fortress balance sheet for an EPC firm [6]. Forward P/E of 17.50 is below the 20x target (score 1.0), and PEG of approximately 1.19 scores 0.91 with 2x weight [6]. ROE is estimated at approximately 15% normalized (improving from FY2025's negative GAAP figure as Q2 2025 one-time gains roll off), scoring 1.0 with 2x weight. Revenue growth YoY of 9% (Q2 2026) is near the 10% target (score 0.97), but the 5-year CAGR of approximately 3% reflects years of flat revenue. Profit margin of 2.6% is thin (typical for EPC) but positive, scoring 0.13. Liquidity cleared at $115M+ daily trading value. FY2026 guidance maintained: adjusted EPS $2.70-2.80, adjusted EBITDA $500-525M.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Fluor's 114-year history and deliberate pivot toward reimbursable contracts and higher-growth end markets demonstrate strategic evolution, and the Q2 2026 recovery ($149M adjusted EBITDA, $6.1B in awards) shows improving execution. However, cultural concerns from Glassdoor reviews describing toxic behavior and lack of respect, the CEO transition (Jim Breuer appointed May 2025), and the $1.4B buyback prioritizing capital return over capability investment suggest a company still stabilizing rather than playing an infinite game. The finite-game tendency toward financial engineering (massive buybacks alongside thin margins) undermines long-term credibility.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Fluor's cause — building the world's critical infrastructure safely and with integrity — has been validated by 114 years of continuous operation through wars, recessions, and industry transformations [3]. The company builds physical infrastructure that enables modern civilization, from nuclear power plants to data centers to defense facilities. This is a genuine and enduring purpose, though it is shared broadly across the EPC industry and lacks the distinctive aspiration that Sinek associates with the highest-scoring causes.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reveal significant organizational culture concerns — descriptions of 'toxic, abusive behavior from middle management,' a 'corporate culture that feels like high school,' 'lack of respect from senior leadership,' and insufficient headquarters support [3]. The CEO transition (Breuer from COO, May 2025) and dual CEO/Chairman role split introduce additional leadership dynamics. While the Fluor Fellows program and stretch assignments suggest some investment in talent development, the cultural descriptions indicate a low-trust environment inconsistent with Sinek's Circle of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Fluor operates alongside Bechtel, Jacobs, KBR, and AECOM, and the shift toward reimbursable contracts and selective bidding suggests learning from past project losses. However, no evidence of management explicitly acknowledging competitors' strengths or framing competition as a catalyst for self-improvement in public communications [1][2].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Fluor has demonstrated incremental flexibility by shifting its backlog composition to 82% reimbursable contracts, pivoting toward energy transition markets (nuclear, hydrogen, carbon capture), adding data center construction and uranium enrichment as growth verticals, and divesting non-core assets for $2.5B+ [1][2]. The NuScale investment positions Fluor for small modular reactor construction. These are meaningful strategic shifts within the EPC framework, though they represent portfolio evolution rather than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Fluor demonstrated courage by completing $2.5B+ in divestitures to streamline the portfolio and deliberately shifting to 82% reimbursable contracts — accepting lower revenue for lower-risk earnings quality [1]. The NuScale Power investment was a forward-looking bet on nuclear energy's revival. However, the $1.4B buyback program targeting 14% share reduction while FY2025 produced a GAAP net loss raises questions about whether capital is being allocated toward long-term capability or financially engineered toward near-term EPS improvement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Fluor is a top-tier global EPC firm with a $26.9B backlog positioned at the intersection of data center construction, nuclear energy revival, LNG expansion, energy transition, and defense modernization [1][2]. Q2 2026 demonstrated a sharp recovery from Q1 weakness — revenue of $4.3B (+9% YoY), adjusted EBITDA of $149M (vs $96M prior year), and $6.1B in new awards drove backlog expansion with management guiding to a full-year book-to-bill well above 1.0 [2]. The balance sheet is exceptionally strong with D/E of 18%, net cash position, and a $1.4B buyback program targeting 14% share reduction. At 17.5x forward P/E on consensus $2.75 EPS, the stock is attractively valued for a company with improving earnings trajectory, AI-driven infrastructure tailwinds (data center and power generation construction), and 6+ quarters of revenue visibility from the backlog [6].</w:t>
      </w:r>
    </w:p>
    <w:p>
      <w:pPr>
        <w:spacing w:after="120"/>
      </w:pPr>
      <w:r>
        <w:rPr>
          <w:rFonts w:ascii="Calibri" w:hAnsi="Calibri"/>
          <w:b w:val="0"/>
          <w:color w:val="3A4A28"/>
          <w:sz w:val="20"/>
        </w:rPr>
        <w:t>The bear case centers on profitability volatility, thin margins, and cultural concerns. Despite Q2's recovery, FY2025 was a GAAP net loss (-$51M) and Q1 2026 generated only $8M in segment profit — demonstrating the quarterly volatility inherent in project-based businesses where a single cost overrun or litigation charge can wipe out a quarter's earnings [1]. EBITDA guidance was adjusted to $500-525M (from the previous $525-560M range). The 2.6% profit margin in Q2 2026 is structurally thin — this is a high-revenue, low-margin business where project execution risk is omnipresent, particularly on the 18% non-reimbursable backlog [2]. Glassdoor reviews describe 'toxic, abusive behavior from middle management' and a culture of disrespect, threatening talent retention for a business dependent on specialized engineering expertise [3]. Net insider selling ($1.5M+ in recent months, zero purchases) signals limited insider conviction. The 5-year revenue CAGR of only 3.1% means the company has not yet demonstrated sustained top-line growth despite the massive backlog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Backlog conversion acceleration — $26.9B backlog with Q2 2026 new awards of $6.1B and management guiding to full-year book-to-bill well above 1.0 across nuclear power, data centers, mining, copper, fertilizers, and midstream [2]</w:t>
      </w:r>
    </w:p>
    <w:p>
      <w:pPr>
        <w:spacing w:before="40" w:after="40"/>
        <w:ind w:left="283"/>
      </w:pPr>
      <w:r>
        <w:rPr>
          <w:rFonts w:ascii="Calibri" w:hAnsi="Calibri"/>
          <w:b/>
          <w:color w:val="4A6B25"/>
          <w:sz w:val="20"/>
        </w:rPr>
        <w:t xml:space="preserve">2. </w:t>
      </w:r>
      <w:r>
        <w:rPr>
          <w:rFonts w:ascii="Calibri" w:hAnsi="Calibri"/>
          <w:b w:val="0"/>
          <w:color w:val="3A4A28"/>
          <w:sz w:val="20"/>
        </w:rPr>
        <w:t>AI-driven infrastructure demand — data center construction and power generation projects in the pipeline benefit directly from hyperscaler capital expenditure requiring physical EPC execution, with Fluor's nuclear expertise (NuScale stake) positioned for the SMR buildout cycle [1][2]</w:t>
      </w:r>
    </w:p>
    <w:p>
      <w:pPr>
        <w:spacing w:before="40" w:after="40"/>
        <w:ind w:left="283"/>
      </w:pPr>
      <w:r>
        <w:rPr>
          <w:rFonts w:ascii="Calibri" w:hAnsi="Calibri"/>
          <w:b/>
          <w:color w:val="4A6B25"/>
          <w:sz w:val="20"/>
        </w:rPr>
        <w:t xml:space="preserve">3. </w:t>
      </w:r>
      <w:r>
        <w:rPr>
          <w:rFonts w:ascii="Calibri" w:hAnsi="Calibri"/>
          <w:b w:val="0"/>
          <w:color w:val="3A4A28"/>
          <w:sz w:val="20"/>
        </w:rPr>
        <w:t>Earnings inflection as margin-accretive reimbursable work (82% of backlog) dominates revenue, with Q2 adjusted EBITDA of $149M demonstrating the profitability trajectory toward FY2026 guidance of $500-525M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Profitability volatility — Q1 2026 segment profit was only $8M before Q2 recovered to $149M adjusted EBITDA, illustrating the quarterly swings from project cost overruns ($37M mining charge) and litigation ($96M Mission Solutions) that can erase margins on 2.6% net margin business [1][2]</w:t>
      </w:r>
    </w:p>
    <w:p>
      <w:pPr>
        <w:spacing w:before="40" w:after="40"/>
        <w:ind w:left="283"/>
      </w:pPr>
      <w:r>
        <w:rPr>
          <w:rFonts w:ascii="Calibri" w:hAnsi="Calibri"/>
          <w:b/>
          <w:color w:val="4A6B25"/>
          <w:sz w:val="20"/>
        </w:rPr>
        <w:t xml:space="preserve">2. </w:t>
      </w:r>
      <w:r>
        <w:rPr>
          <w:rFonts w:ascii="Calibri" w:hAnsi="Calibri"/>
          <w:b w:val="0"/>
          <w:color w:val="3A4A28"/>
          <w:sz w:val="20"/>
        </w:rPr>
        <w:t>Thin structural margins — 2.6% profit margin means minimal cushion for execution errors, and the 18% of backlog that is non-reimbursable carries concentrated cost-overrun risk that has historically impaired results [2]</w:t>
      </w:r>
    </w:p>
    <w:p>
      <w:pPr>
        <w:spacing w:before="40" w:after="40"/>
        <w:ind w:left="283"/>
      </w:pPr>
      <w:r>
        <w:rPr>
          <w:rFonts w:ascii="Calibri" w:hAnsi="Calibri"/>
          <w:b/>
          <w:color w:val="4A6B25"/>
          <w:sz w:val="20"/>
        </w:rPr>
        <w:t xml:space="preserve">3. </w:t>
      </w:r>
      <w:r>
        <w:rPr>
          <w:rFonts w:ascii="Calibri" w:hAnsi="Calibri"/>
          <w:b w:val="0"/>
          <w:color w:val="3A4A28"/>
          <w:sz w:val="20"/>
        </w:rPr>
        <w:t>Toxic organizational culture — Glassdoor reviews describing abusive management, lack of respect from senior leadership, and 'high school' dynamics threaten talent retention, while net insider selling ($1.5M+ with zero purchases) signals limited insider conviction [3][5]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Fluor's core business — engineering, procurement, and construction of physical infrastructure — is structurally immune to AI substitution. Building LNG terminals, nuclear facilities, data centers, and defense installations requires physical-world execution, regulatory compliance, classified security clearances, and on-the-ground project management that AI cannot replace [1][2]. The Mission Solutions segment serves U.S. government and military customers with classified work requiring human judgment. More importantly, AI is a direct demand driver: data center construction is a growing end market within Fluor's backlog, and energy transition projects (nuclear, hydrogen, carbon capture) generate incremental EPC demand as AI increases global electricity consumption [2]. Fluor's Q2 2026 awards of $6.1B reflect the physical infrastructure build-out that AI proliferation demands. AI Opportunity (1/1): Fluor directly benefits from AI-driven infrastructure demand — data center construction and power generation projects are growing portions of the backlog, directly benefiting from the massive hyperscaler capital expenditure cycle requiring physical EPC execution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Fluor Q1 2026 Earnings Release — $3.6B Revenue (-8% YoY), $8M Segment Profit, $61M Adjusted EBITDA, Trimmed EBITDA Guidance, May 2026</w:t>
      </w:r>
    </w:p>
    <w:p>
      <w:pPr>
        <w:spacing w:before="20" w:after="20"/>
        <w:ind w:left="170"/>
      </w:pPr>
      <w:r>
        <w:rPr>
          <w:rFonts w:ascii="Calibri" w:hAnsi="Calibri"/>
          <w:b/>
          <w:color w:val="4A6B25"/>
          <w:sz w:val="15"/>
        </w:rPr>
        <w:t xml:space="preserve">2. </w:t>
      </w:r>
      <w:r>
        <w:rPr>
          <w:rFonts w:ascii="Calibri" w:hAnsi="Calibri"/>
          <w:b w:val="0"/>
          <w:color w:val="3A4A28"/>
          <w:sz w:val="17"/>
        </w:rPr>
        <w:t>Fluor Q2 2026 Earnings Release — $4.3B Revenue (+9%), $149M Adjusted EBITDA, Adjusted EPS $0.91, $6.1B New Awards, Backlog $26.9B, Cash Flow Guidance Raised, August 2026</w:t>
      </w:r>
    </w:p>
    <w:p>
      <w:pPr>
        <w:spacing w:before="20" w:after="20"/>
        <w:ind w:left="170"/>
      </w:pPr>
      <w:r>
        <w:rPr>
          <w:rFonts w:ascii="Calibri" w:hAnsi="Calibri"/>
          <w:b/>
          <w:color w:val="4A6B25"/>
          <w:sz w:val="15"/>
        </w:rPr>
        <w:t xml:space="preserve">3. </w:t>
      </w:r>
      <w:r>
        <w:rPr>
          <w:rFonts w:ascii="Calibri" w:hAnsi="Calibri"/>
          <w:b w:val="0"/>
          <w:color w:val="3A4A28"/>
          <w:sz w:val="17"/>
        </w:rPr>
        <w:t>Glassdoor Reviews, Fluor Leadership — CEO Jim Breuer (May 2025), Executive Chairman David Constable, Culture Concerns, Fluor Fellows Program,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Fluor Sustainability and ESG Report — Community Programs, Environmental Initiatives, ESG Risk Rating,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Fluor Insider Transactions — 12 Sales ($1.5M+), 0 Purchases in Past 6 Months, CFO John Regan 28,762 Shares Sold — InsiderMonkey, 2026</w:t>
      </w:r>
    </w:p>
    <w:p>
      <w:pPr>
        <w:spacing w:before="20" w:after="20"/>
        <w:ind w:left="170"/>
      </w:pPr>
      <w:r>
        <w:rPr>
          <w:rFonts w:ascii="Calibri" w:hAnsi="Calibri"/>
          <w:b/>
          <w:color w:val="4A6B25"/>
          <w:sz w:val="15"/>
        </w:rPr>
        <w:t xml:space="preserve">6. </w:t>
      </w:r>
      <w:r>
        <w:rPr>
          <w:rFonts w:ascii="Calibri" w:hAnsi="Calibri"/>
          <w:b w:val="0"/>
          <w:color w:val="3A4A28"/>
          <w:sz w:val="17"/>
        </w:rPr>
        <w:t>Yahoo Finance / StockAnalysis / GuruFocus — FLR Key Statistics: Forward PE 17.50, PEG 1.19, D/E 18%, Market Cap $6.82B,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