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FLUT</w:t>
      </w:r>
      <w:r>
        <w:rPr>
          <w:rFonts w:ascii="Calibri" w:hAnsi="Calibri"/>
          <w:b/>
          <w:color w:val="1A2010"/>
          <w:sz w:val="40"/>
        </w:rPr>
        <w:t xml:space="preserve">  Flutter Entertainment plc</w:t>
      </w:r>
    </w:p>
    <w:p>
      <w:pPr>
        <w:spacing w:after="120"/>
      </w:pPr>
      <w:r>
        <w:rPr>
          <w:rFonts w:ascii="Calibri" w:hAnsi="Calibri"/>
          <w:b/>
          <w:color w:val="6E8450"/>
          <w:sz w:val="18"/>
        </w:rPr>
        <w:t>GROWTH SLEEVE · 2026-08-31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Gambling · NYSE · Ireland</w:t>
      </w:r>
    </w:p>
    <w:p>
      <w:pPr>
        <w:spacing w:after="80"/>
      </w:pPr>
      <w:r>
        <w:rPr>
          <w:rFonts w:ascii="Calibri" w:hAnsi="Calibri"/>
          <w:b w:val="0"/>
          <w:color w:val="3A4A28"/>
          <w:sz w:val="20"/>
        </w:rPr>
        <w:t>Flutter Entertainment plc is the world's largest online sports betting and gaming company, operating iconic brands including FanDuel (#1 US sportsbook), PokerStars, Paddy Power, Betfair, and Sisal across 100+ countries. Q1 2026 revenue of $4.3B (+17% YoY) demonstrated continued top-line strength, but Q2 2026 margins collapsed with adjusted EBITDA down 45% to $508M due to FIFA World Cup marketing spend, UK gaming tax increases, and weaker US sportsbook economics. FY2026 guidance was revised down to $17.9B revenue and $2.66B EBITDA. CEO Peter Jackson is transitioning to Dan Taylor effective October 2026. Market cap approximately $17.6B.</w:t>
      </w:r>
    </w:p>
    <w:p>
      <w:r>
        <w:rPr>
          <w:rFonts w:ascii="Calibri" w:hAnsi="Calibri"/>
          <w:b/>
          <w:color w:val="6E8450"/>
          <w:sz w:val="18"/>
        </w:rPr>
        <w:t>30,000 Employees · https://flutter.com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Flutter transformed from a regional Irish bookmaker (Paddy Power) into the world's largest online gaming company through a series of bold acquisitions — Betfair merger (2016), Stars Group acquisition (2020), Sisal (2022) — and successfully built FanDuel into the #1 US sportsbook with leading market share following US sports betting legalization [1][2]. The US expansion via FanDuel represents a significant new revenue stream that fundamentally reshaped the company's geographic and revenue profile. AI Deployment (1/2): Flutter deploys machine learning for real-time odds-making, customer personalization, and responsible gambling detection through its Play Well tools, which 44.5% of customers globally now use [3]. The company recently hired a VP of AI for Brazil operations and is evaluating vendors for customer service modernization, indicating active but early-stage AI deployment without quantified AI-specific revenue gains [2]. Market Share (2/2): Flutter is the world's largest online betting company by revenue with 15.9 million average monthly players across 100+ countries. FanDuel holds approximately 50% of the US online sports betting market, the dominant position by a wide margin [1]. Product Pipeline (1/2): Expansion into newly regulated markets including Brazil and new US states, plus continued FanDuel product development, but no specific next-generation product launches with timelines announced [1]. R&amp;D Intensity (1/1): With 7,000 technologists across its brands — representing roughly 23% of total employees — Flutter invests significantly in technology relative to gambling industry peers, sharing platforms and insights globally while tailoring products locally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Flutter's mission to 'change the game' by transforming the global sports betting and gaming industry is specific to its sector and shows intentionality about reshaping customer experiences and responsible gambling, but it does not articulate a vision of a better future beyond the gambling industry itself [4]. Community Impact (1/2): Flutter invested $139M in 2024 across its international operations to promote safe play, and its Positive Impact Plan (established 2022) targets 50% customer usage of Play Well tools by 2026 — a structured program with specific dollar amounts [3]. However, responsible gambling investment is partially risk mitigation rather than pure community giving. Employee Retention (0/2): No specific voluntary turnover rates or average tenure data found in public materials despite the company employing approximately 30,000 people globally. Insider Buying (0/2): Mixed insider activity with 7 buys and 19 sells over the past year. While President Daniel Taylor bought 2,624 shares (~$250K) in May 2026, DART Kenneth Bryan sold 789,738 shares in April 2026, and the net direction is clearly selling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Flutter's revenue growth remains strong — Q1 2026 of $4.3B (+17% YoY) and TTM revenue of $17.2B (+15% YoY), with 5-year revenue CAGR of approximately 18% driven by FanDuel's US expansion [1]. Forward P/E of 16.02 and forward PEG of 0.28 are both well below target thresholds, reflecting the 65% stock decline over the past year against expected earnings recovery [6]. However, Q2 2026 revealed profitability pressures — adjusted EBITDA fell 45% to $508M and FY2026 guidance was revised down to $17.9B revenue and $2.66B EBITDA [1]. TTM profit margin of -5.05% and ROE of -7.87% both score 0, reflecting losses from FIFA World Cup marketing, UK tax increases, and higher interest expense on $12.58B in acquisition debt [6]. D/E of 134% is elevated. Liquidity floor cleared: 2.26M avg volume x $101.41 = $229M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Flutter shows meaningful infinite game characteristics in its responsible gambling commitment and willingness to invest in market expansion ahead of profitability, but the company's identity is fundamentally tied to a gambling business model where customer losses are the revenue source. The 'change the game' mission is genuine in its aspiration to reshape the industry, but the inherent tension between maximizing customer engagement and promoting responsible play limits the depth of any Just Cause in this sector.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Flutter's 'change the game' mission aspires to transform the gambling industry through better customer experiences and responsible gaming. However, the fundamental business model — profiting from customer losses on bets — creates an inherent tension with any deeper purpose. The mission is specific to Flutter's industry but does not describe a future state so compelling that people would sacrifice to advance it. Strategic decisions (acquisitions, market entry) are primarily driven by market opportunity rather than advancing a transcendent cause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Peter Jackson has led Flutter since 2018, providing leadership stability through the transformative Stars Group merger, NYSE listing, and US expansion. The company's 7,000 technologists share insights across brands globally while maintaining local autonomy, suggesting a federated trust model [2]. However, the company's leadership shuffle in 2026 (with changes in key positions) and the scale of a 30,000-person organization across 100+ countries make it difficult to maintain consistently high trust levels, and no specific evidence of exceptional employee empowerment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Flutter competes against DraftKings, BetMGM, Entain, and Bet365, and management frames competition in terms of product innovation and customer experience improvement rather than competitor destruction. The company's response to DraftKings' aggressive US marketing was to invest in FanDuel's product quality and customer retention rather than a pure price war, reflecting an improvement-oriented competitive mindset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Flutter has undergone meaningful strategic evolution — from Paddy Power's Irish retail bookmaking roots to a global digital-first gaming platform through the Betfair merger, Stars Group acquisition, and FanDuel US expansion [1]. The NYSE listing in 2024 to access US capital markets was a significant strategic pivot. However, the core business model has remained constant (online betting and gaming), and the transformation has been through M&amp;A-driven geographic expansion rather than a fundamental reinvention of what the company does.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Flutter's $139M annual investment in responsible gambling — essentially spending money to limit its own revenue — demonstrates willingness to prioritize long-term sustainability over short-term earnings [3]. The FanDuel US expansion required billions in investment ahead of profitability, a genuine long-term bet. However, responsible gambling investment is also regulatory necessity in many markets, and Flutter's stock decline of 58% over the past year raises questions about whether aggressive M&amp;A spending created excessive leverage rather than reflecting principled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Flutter Entertainment at 16x forward earnings with a PEG of 0.28 offers a compelling valuation for the world's largest online betting company — Q1 2026 revenue of $4.3B (+17% YoY) demonstrated FanDuel's continued US dominance (~50% sportsbook market share), and the 5-year revenue CAGR of ~18% reflects successful transformation from an Irish bookmaker into a global platform [1][6]. The stock has declined 65% over the past year, compressing valuations well below historical averages despite FY2026 guidance of $17.9B revenue (+12%). FanDuel's massive customer base, PokerStars' global iGaming network, and continued US state-level legalization provide multiple growth vectors. The forward PEG of 0.28 implies the market expects significant earnings recovery as one-time FIFA World Cup costs fade.</w:t>
      </w:r>
    </w:p>
    <w:p>
      <w:pPr>
        <w:spacing w:after="120"/>
      </w:pPr>
      <w:r>
        <w:rPr>
          <w:rFonts w:ascii="Calibri" w:hAnsi="Calibri"/>
          <w:b w:val="0"/>
          <w:color w:val="3A4A28"/>
          <w:sz w:val="20"/>
        </w:rPr>
        <w:t>The bear case is the Q2 2026 margin collapse and balance sheet strain. Adjusted EBITDA fell 45% to $508M in Q2, and FY2026 guidance was revised down from $18.3B/$2.87B to $17.9B/$2.66B in revenue/EBITDA [1]. TTM profit margin of -5.05% and ROE of -7.87% reflect losses from FIFA World Cup marketing overspend, the permanent UK gaming tax increase from 21% to 25%, and interest expense on $12.58B in acquisition debt (D/E 134%) [6]. The 65% stock decline signals market skepticism about the profitability path despite strong top-line growth. Gambling regulation is an evergreen risk — the UK tax increase demonstrated how quickly government action can compress margins, and US state-level changes could similarly impact FanDuel. Competition from DraftKings continues pressuring customer acquisition costs. The Inspire Impact Score of -1 (MIXED) reflects inherent tension between gambling and faith-based investment criteria.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FIFA World Cup marketing costs in Q2 2026 are one-time — their absence in H2 2026 should drive significant margin recovery and demonstrate underlying profitability, potentially restoring investor confidence after the 65% stock decline [1]</w:t>
      </w:r>
    </w:p>
    <w:p>
      <w:pPr>
        <w:spacing w:before="40" w:after="40"/>
        <w:ind w:left="283"/>
      </w:pPr>
      <w:r>
        <w:rPr>
          <w:rFonts w:ascii="Calibri" w:hAnsi="Calibri"/>
          <w:b/>
          <w:color w:val="4A6B25"/>
          <w:sz w:val="20"/>
        </w:rPr>
        <w:t xml:space="preserve">2. </w:t>
      </w:r>
      <w:r>
        <w:rPr>
          <w:rFonts w:ascii="Calibri" w:hAnsi="Calibri"/>
          <w:b w:val="0"/>
          <w:color w:val="3A4A28"/>
          <w:sz w:val="20"/>
        </w:rPr>
        <w:t>Continued US sports betting state-level legalization expanding FanDuel's total addressable market, with several large states still not offering legal mobile sports betting [1]</w:t>
      </w:r>
    </w:p>
    <w:p>
      <w:pPr>
        <w:spacing w:before="40" w:after="40"/>
        <w:ind w:left="283"/>
      </w:pPr>
      <w:r>
        <w:rPr>
          <w:rFonts w:ascii="Calibri" w:hAnsi="Calibri"/>
          <w:b/>
          <w:color w:val="4A6B25"/>
          <w:sz w:val="20"/>
        </w:rPr>
        <w:t xml:space="preserve">3. </w:t>
      </w:r>
      <w:r>
        <w:rPr>
          <w:rFonts w:ascii="Calibri" w:hAnsi="Calibri"/>
          <w:b w:val="0"/>
          <w:color w:val="3A4A28"/>
          <w:sz w:val="20"/>
        </w:rPr>
        <w:t>Dan Taylor CEO transition in October 2026 could bring fresh strategic direction and improved capital discipline from someone who successfully led the International division's profitable expansion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margin collapse (EBITDA -45%) may not be fully one-time — the UK gaming tax increase from 21% to 25% is permanent and structurally compresses European margins, while US sportsbook economics showed weakness beyond World Cup effects [1]</w:t>
      </w:r>
    </w:p>
    <w:p>
      <w:pPr>
        <w:spacing w:before="40" w:after="40"/>
        <w:ind w:left="283"/>
      </w:pPr>
      <w:r>
        <w:rPr>
          <w:rFonts w:ascii="Calibri" w:hAnsi="Calibri"/>
          <w:b/>
          <w:color w:val="4A6B25"/>
          <w:sz w:val="20"/>
        </w:rPr>
        <w:t xml:space="preserve">2. </w:t>
      </w:r>
      <w:r>
        <w:rPr>
          <w:rFonts w:ascii="Calibri" w:hAnsi="Calibri"/>
          <w:b w:val="0"/>
          <w:color w:val="3A4A28"/>
          <w:sz w:val="20"/>
        </w:rPr>
        <w:t>Balance sheet leverage of $12.58B debt ($10.96B net debt) at D/E of 134% constrains financial flexibility and increases refinancing risk if interest rates remain elevated, while negative ROE of -7.87% signals acquisition-driven growth has not yet generated adequate returns [6]</w:t>
      </w:r>
    </w:p>
    <w:p>
      <w:pPr>
        <w:spacing w:before="40" w:after="40"/>
        <w:ind w:left="283"/>
      </w:pPr>
      <w:r>
        <w:rPr>
          <w:rFonts w:ascii="Calibri" w:hAnsi="Calibri"/>
          <w:b/>
          <w:color w:val="4A6B25"/>
          <w:sz w:val="20"/>
        </w:rPr>
        <w:t xml:space="preserve">3. </w:t>
      </w:r>
      <w:r>
        <w:rPr>
          <w:rFonts w:ascii="Calibri" w:hAnsi="Calibri"/>
          <w:b w:val="0"/>
          <w:color w:val="3A4A28"/>
          <w:sz w:val="20"/>
        </w:rPr>
        <w:t>Regulatory risk across 100+ jurisdictions — each US state, European country, and emerging market operates independently, and any single market's regulatory tightening (tax increases, advertising bans, licensing restrictions) can materially impair segment profitability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Flutter's core business is protected by deep regulatory moats — gambling licenses in 100+ countries require extensive compliance infrastructure, background checks, and ongoing regulatory relationships that AI cannot shortcut or replicate [3]. The physical-world connection to live sports events provides structural insulation from digital disruption. Customer switching costs are high due to deposited funds, betting history, and loyalty programs across FanDuel, PokerStars, and other brands. However, AI could enable new competitors with superior odds-making algorithms or personalization, and AI-assisted betting tools could shift the edge toward sophisticated bettors, pressuring margins. Flutter itself acknowledges 'operating models of the past have no divine right to succeed in a future shaped by AI' [2]. AI Opportunity (0/1): While Flutter deploys ML for odds-making, personalization, and responsible gambling, no specific AI-driven revenue figures or quantified efficiency gains have been reported. The $139M responsible gambling spend and Play Well tools incorporate AI/ML but are framed as cost centers rather than revenue generators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Flutter Entertainment Q1 &amp; Q2 2026 Earnings Releases — Q1 Revenue $4.3B (+17%), Q2 Revenue $4.33B (+3%), Q2 Adj EBITDA $508M (-45%), FY2026 Guidance Revised to $17.9B/$2.66B, TipRanks/TradingKey, 2026</w:t>
      </w:r>
    </w:p>
    <w:p>
      <w:pPr>
        <w:spacing w:before="20" w:after="20"/>
        <w:ind w:left="170"/>
      </w:pPr>
      <w:r>
        <w:rPr>
          <w:rFonts w:ascii="Calibri" w:hAnsi="Calibri"/>
          <w:b/>
          <w:color w:val="4A6B25"/>
          <w:sz w:val="15"/>
        </w:rPr>
        <w:t xml:space="preserve">2. </w:t>
      </w:r>
      <w:r>
        <w:rPr>
          <w:rFonts w:ascii="Calibri" w:hAnsi="Calibri"/>
          <w:b w:val="0"/>
          <w:color w:val="3A4A28"/>
          <w:sz w:val="17"/>
        </w:rPr>
        <w:t>Flutter Entertainment AI Strategy and Leadership — Dan Taylor Named Next CEO, AI Pricing Engines, Flutter Edge Strategy, flutter.com/SBC Summit, 2025-2026</w:t>
      </w:r>
    </w:p>
    <w:p>
      <w:pPr>
        <w:spacing w:before="20" w:after="20"/>
        <w:ind w:left="170"/>
      </w:pPr>
      <w:r>
        <w:rPr>
          <w:rFonts w:ascii="Calibri" w:hAnsi="Calibri"/>
          <w:b/>
          <w:color w:val="4A6B25"/>
          <w:sz w:val="15"/>
        </w:rPr>
        <w:t xml:space="preserve">3. </w:t>
      </w:r>
      <w:r>
        <w:rPr>
          <w:rFonts w:ascii="Calibri" w:hAnsi="Calibri"/>
          <w:b w:val="0"/>
          <w:color w:val="3A4A28"/>
          <w:sz w:val="17"/>
        </w:rPr>
        <w:t>Flutter Positive Impact Plan and Responsible Gambling — MSCI AA Rating, $139M Safe Play Investment, 44.5% Play Well Tool Adoption, Sustainability Report 2024</w:t>
      </w:r>
    </w:p>
    <w:p>
      <w:pPr>
        <w:spacing w:before="20" w:after="20"/>
        <w:ind w:left="170"/>
      </w:pPr>
      <w:r>
        <w:rPr>
          <w:rFonts w:ascii="Calibri" w:hAnsi="Calibri"/>
          <w:b/>
          <w:color w:val="4A6B25"/>
          <w:sz w:val="15"/>
        </w:rPr>
        <w:t xml:space="preserve">4. </w:t>
      </w:r>
      <w:r>
        <w:rPr>
          <w:rFonts w:ascii="Calibri" w:hAnsi="Calibri"/>
          <w:b w:val="0"/>
          <w:color w:val="3A4A28"/>
          <w:sz w:val="17"/>
        </w:rPr>
        <w:t>Flutter Entertainment Mission and Vision — flutter.com About Us,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Flutter Insider Transaction Activity — StockTitan, GuruFocus, AltIndex,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GuruFocus — FLUT Key Statistics: Forward P/E 16.02, PEG 0.28, D/E 134%, ROE -7.87%, Stock Price ~$101.41,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