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FND</w:t>
      </w:r>
      <w:r>
        <w:rPr>
          <w:rFonts w:ascii="Calibri" w:hAnsi="Calibri"/>
          <w:b/>
          <w:color w:val="1A2010"/>
          <w:sz w:val="40"/>
        </w:rPr>
        <w:t xml:space="preserve">  Floor &amp; Decor Holdings, Inc.</w:t>
      </w:r>
    </w:p>
    <w:p>
      <w:pPr>
        <w:spacing w:after="120"/>
      </w:pPr>
      <w:r>
        <w:rPr>
          <w:rFonts w:ascii="Calibri" w:hAnsi="Calibri"/>
          <w:b/>
          <w:color w:val="6E8450"/>
          <w:sz w:val="18"/>
        </w:rPr>
        <w:t>GROWTH SLEEVE · 2026-09-07 · Inspire: 50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Home Improvement Retail · NYSE · United States</w:t>
      </w:r>
    </w:p>
    <w:p>
      <w:pPr>
        <w:spacing w:after="80"/>
      </w:pPr>
      <w:r>
        <w:rPr>
          <w:rFonts w:ascii="Calibri" w:hAnsi="Calibri"/>
          <w:b w:val="0"/>
          <w:color w:val="3A4A28"/>
          <w:sz w:val="20"/>
        </w:rPr>
        <w:t>Floor &amp; Decor is the largest specialty hard-surface flooring retailer in the United States, operating 240+ warehouse-format stores across 36 states. The company offers a broad assortment of tile, wood, laminate, vinyl, and natural stone flooring at everyday low prices, targeting both retail consumers and professional (Pro) installers. FY2026 Q1 net sales of $1.15B declined 0.7% YoY with comparable store sales down 3.7%, reflecting challenging housing market conditions. The company has proactively diversified sourcing from China (reduced from 50% to 18% of imports) to mitigate tariff exposure. Full-year FY2026 sales guidance is $4.77-4.99B.</w:t>
      </w:r>
    </w:p>
    <w:p>
      <w:r>
        <w:rPr>
          <w:rFonts w:ascii="Calibri" w:hAnsi="Calibri"/>
          <w:b/>
          <w:color w:val="6E8450"/>
          <w:sz w:val="18"/>
        </w:rPr>
        <w:t>11,000 Employees · https://www.flooranddecor.com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Floor &amp; Decor has expanded from approximately 150 stores to 240+ stores over the past 5 years, a meaningful physical retail expansion, and proactively diversified sourcing away from China (50% to 18% of imports since 2018) in a supply chain transformation that mitigated tariff exposure before it became critical [1][3]. However, these are standard retail execution activities — opening new stores and adjusting supply chains — rather than transformative pivots or business model innovations. The Connected Customer sales initiative grew 5.4% YoY to represent 19% of total sales, but this is incremental channel development. AI Deployment (0/2): No evidence of AI-powered products, services, or quantified AI-driven efficiency gains was identified in Floor &amp; Decor's public disclosures, earnings calls, or press releases [2]. The company has not discussed AI strategy in public forums. Market Share (1/2): Floor &amp; Decor is the largest specialty hard-surface flooring retailer in the U.S. with 240+ warehouse stores, a meaningful competitive position [1]. However, the company competes against significantly larger home improvement retailers (Home Depot, Lowe's) whose flooring departments dwarf FND's total footprint, and independent flooring retailers collectively hold substantial share. Product Pipeline (1/2): The company has a defined long-term store expansion target of 500+ locations from the current 240+, providing multi-year revenue visibility through new store openings at approximately 30-35 per year [1]. However, beyond store expansion, no specific next-generation products or services with named launch dates and quantified revenue expectations have been announced. R&amp;D Intensity (0/1): Floor &amp; Decor does not report R&amp;D spending. The company is a specialty retailer with no technology research function above the retail industry standard.</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Floor &amp; Decor's purpose centers on being the lowest-price, widest-selection hard-surface flooring retailer — a competitive positioning statement rather than a mission that inspires beyond the obvious [3]. The company's strategy is primarily about price, selection, and store count expansion, without articulating why affordable flooring access matters to communities or families beyond the commercial value proposition. This is a generic retail mission interchangeable with any discount specialty retailer. Community Impact (0/2): No evidence of distinctive charitable programs, community investment, or social impact initiatives was identified. Floor &amp; Decor publishes basic ESG disclosures with board-level oversight through the Nominating and Corporate Governance Committee, but this represents minimum corporate governance rather than community engagement [3]. Employee Retention (0/2): Glassdoor rating of 3.2/5 across nearly 2,000 reviews is below average, with multiple reviewers citing high turnover, unprofessional leadership behavior (yelling, intimidation, gender-biased treatment), and management issues [2]. The 'high turnover' tag appears prominently in Glassdoor search filters for Floor &amp; Decor. No specific retention data, tenure statistics, or positive cultural indicators were identified. Insider Buying (0/2): No evidence of meaningful net insider buying by Executive Chair Tom Taylor, President Bradley Paulsen, or other executives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Floor &amp; Decor's Infrastructure is dragged down by expensive valuation relative to growth and thin margins. The PEG ratio of 4.84 is well above the 3.0 floor, scoring 0 at 2x weight — this is the dominant headwind, reflecting a stock priced for growth that is not materializing (comp sales down 3.7% in Q1 FY2026) [1][4]. Profit margin of 4.93% is well below the 20% target (scores 0.247), reflecting the thin-margin nature of specialty retail [4]. ROE of 8.53% is below the 15% target (scores 0.569 at 2x weight). On the positive side, D/E of 82% is within the acceptable range (scores 0.948), revenue growth of approximately 4.5% (FY2025) is moderate, and the 5-year revenue CAGR of approximately 8% benefits from the post-COVID growth surge [1]. Forward P/E of 29.73x is above the 20x target but within scoring range (0.757). Liquidity floor is cleared with approximately $114M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Floor &amp; Decor is a finite-game player in Sinek's framework — the company's strategy is centered on store count expansion, market share capture, and price competition rather than a vision of a better future. The long-term target of 500+ stores from 240+ current is a growth objective, not a Just Cause. Leadership transition from Tom Taylor to Bradley Paulsen reflects succession planning, but the new president comes from Tractor Supply — a different retail vertical — suggesting the appointment was about operational expertise rather than purpose alignment. The Glassdoor-documented issues with leadership behavior (yelling, intimidation, high turnover) reflect a low-trust organization that Sinek would flag as playing to win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Floor &amp; Decor's purpose is defined by competitive positioning — lowest price, widest selection in hard-surface flooring — rather than a vision of a better future [1]. The 500+ store expansion target is a market share goal, not a cause that inspires sacrifice. Democratizing access to quality flooring could be articulated as a purpose, but the company has not framed it that way. The leadership transition and strategy discussions are entirely focused on financial metrics (comp sales, margins, store economics) rather than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(3.2/5 across ~2,000 reviews) reveal a low-trust environment with reports of leadership behavior including yelling, intimidation, and gender-biased treatment [2]. The 'high turnover' tag is prominent in Glassdoor search results for Floor &amp; Decor. Multiple reviewers describe unprofessional management and inconsistent accountability. This is evidence of a fear-based culture where employees spend energy protecting themselves rather than advancing the organization — the opposite of Sinek's Circle of Safety. The decentralized Chief Executive Merchant model gives store leaders autonomy but may also enable inconsistent leadership practices across locations.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Floor &amp; Decor's competitive positioning against Home Depot, Lowe's, and independent flooring retailers is framed in finite terms — beating competitors on price, selection, and store format rather than learning from their strengths [1]. The company's investor presentations focus on market share capture and competitive differentiation rather than competitive self-improvement. No evidence of management acknowledging rivals' strengths as motivation for self-improvement was identified.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Floor &amp; Decor has evolved its business model incrementally — the proactive shift of sourcing from China (50% to 18% of imports) demonstrated supply chain flexibility before tariffs became critical [3]. The Connected Customer initiative (5.4% growth, now 19% of sales) reflects channel adaptation, and the Pro customer strategic focus adds a new customer segment. The leadership transition from Tom Taylor to Bradley Paulsen (from Tractor Supply) brings outside perspective. However, the core business remains unchanged — the company is still a hard-surface flooring warehouse retailer pursuing the same expansion strategy it defined years ago.</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Floor &amp; Decor demonstrated foresight in proactively diversifying sourcing away from China (50% to 18% of imports) starting in 2018, accepting higher near-term procurement costs to reduce tariff and geopolitical risk before most competitors acted [3]. This was a concrete example of sacrificing short-term cost optimization for long-term supply chain resilience. However, beyond the sourcing shift, no additional examples of leadership making costly long-term bets or walking away from profitable but misaligned activities were identified. The company's response to challenging Q1 FY2026 results (comp sales -3.7%) was standard operational adjustment rather than courageous strategic repositioning.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Floor &amp; Decor at 29.73x forward earnings offers a long-term store expansion story with a defined runway from 240+ to 500+ locations, each new store contributing approximately $15-18M in annual revenue at maturity [1]. The proactive China sourcing diversification (50% to 18%) positions FND to absorb tariff impacts better than less-prepared competitors, and the company expects to raise prices to offset remaining tariff costs rather than absorb them [3]. Pro customer growth (+1.4% in Q1 despite macro headwinds) and Connected Customer sales (19% of total, +5.4% YoY) demonstrate strategic traction in key growth initiatives. The company maintains a clean balance sheet (D/E 82%) with financial flexibility for continued expansion, and the Inspire Impact Score of 50 (ALIGNED) with 10 positive attributions and no negative flags makes FND one of the more faith-compatible holdings in the consumer discretionary space. The housing market recovery thesis — deferred remodeling demand from higher mortgage rates — could drive a same-store sales inflection when rates decline.</w:t>
      </w:r>
    </w:p>
    <w:p>
      <w:pPr>
        <w:spacing w:after="120"/>
      </w:pPr>
      <w:r>
        <w:rPr>
          <w:rFonts w:ascii="Calibri" w:hAnsi="Calibri"/>
          <w:b w:val="0"/>
          <w:color w:val="3A4A28"/>
          <w:sz w:val="20"/>
        </w:rPr>
        <w:t>The bear case is substantial and centered on valuation compression, macro headwinds, and cultural concerns. Forward PE of 29.73x with a PEG of 4.84 prices FND as a high-growth stock, but Q1 FY2026 delivered negative revenue growth (-0.7%) and comp store sales of -3.7%, suggesting the growth premium is unjustified at current levels [1][4]. Profit margin of 4.93% is razor-thin for a retailer, leaving no buffer against competitive pricing pressure from Home Depot and Lowe's, and ROE of 8.53% well below the 15% target reflects poor capital efficiency relative to the valuation multiple. The housing market malaise — elevated mortgage rates suppressing existing home sales and remodeling activity — directly impacts Floor &amp; Decor's addressable demand, and management's FY2026 guidance of flat-to-negative comp sales (0% to -4%) signals continued headwinds [1]. Cultural concerns are significant: Glassdoor 3.2/5 with documented reports of high turnover, leadership intimidation, and gender-biased behavior suggest organizational health issues that could impair long-term execution as the store count scales [2]. The Infinite Game score of 3/10 (FINITE) reflects a company playing to expand market share rather than to endure.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Housing market recovery and mortgage rate decline triggering a remodeling cycle — deferred demand from 2023-2026 rate lock-in creates pent-up activity, with every 100bps decline in mortgage rates estimated to unlock significant existing home sales that drive flooring replacement [1]</w:t>
      </w:r>
    </w:p>
    <w:p>
      <w:pPr>
        <w:spacing w:before="40" w:after="40"/>
        <w:ind w:left="283"/>
      </w:pPr>
      <w:r>
        <w:rPr>
          <w:rFonts w:ascii="Calibri" w:hAnsi="Calibri"/>
          <w:b/>
          <w:color w:val="4A6B25"/>
          <w:sz w:val="20"/>
        </w:rPr>
        <w:t xml:space="preserve">2. </w:t>
      </w:r>
      <w:r>
        <w:rPr>
          <w:rFonts w:ascii="Calibri" w:hAnsi="Calibri"/>
          <w:b w:val="0"/>
          <w:color w:val="3A4A28"/>
          <w:sz w:val="20"/>
        </w:rPr>
        <w:t>New store expansion pipeline of ~30-35 locations annually toward 500+ long-term target, each contributing $15-18M at maturity with consistent unit economics, providing visible revenue growth independent of same-store sales trends [1]</w:t>
      </w:r>
    </w:p>
    <w:p>
      <w:pPr>
        <w:spacing w:before="40" w:after="40"/>
        <w:ind w:left="283"/>
      </w:pPr>
      <w:r>
        <w:rPr>
          <w:rFonts w:ascii="Calibri" w:hAnsi="Calibri"/>
          <w:b/>
          <w:color w:val="4A6B25"/>
          <w:sz w:val="20"/>
        </w:rPr>
        <w:t xml:space="preserve">3. </w:t>
      </w:r>
      <w:r>
        <w:rPr>
          <w:rFonts w:ascii="Calibri" w:hAnsi="Calibri"/>
          <w:b w:val="0"/>
          <w:color w:val="3A4A28"/>
          <w:sz w:val="20"/>
        </w:rPr>
        <w:t>Pro customer strategic focus showing resilience (+1.4% growth) and Connected Customer penetration reaching 19% of sales (+5.4% YoY), demonstrating that the targeted customer acquisition investments are driving results despite macro headwinds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Sustained housing market weakness — Q1 FY2026 comparable store sales declined 3.7%, and management's full-year guidance of flat to -4% comp sales signals no near-term recovery, with elevated mortgage rates continuing to suppress remodeling demand [1]</w:t>
      </w:r>
    </w:p>
    <w:p>
      <w:pPr>
        <w:spacing w:before="40" w:after="40"/>
        <w:ind w:left="283"/>
      </w:pPr>
      <w:r>
        <w:rPr>
          <w:rFonts w:ascii="Calibri" w:hAnsi="Calibri"/>
          <w:b/>
          <w:color w:val="4A6B25"/>
          <w:sz w:val="20"/>
        </w:rPr>
        <w:t xml:space="preserve">2. </w:t>
      </w:r>
      <w:r>
        <w:rPr>
          <w:rFonts w:ascii="Calibri" w:hAnsi="Calibri"/>
          <w:b w:val="0"/>
          <w:color w:val="3A4A28"/>
          <w:sz w:val="20"/>
        </w:rPr>
        <w:t>Valuation disconnect: PEG of 4.84 and forward PE of 29.73x price FND as a high-growth retailer, but revenue declined 0.7% in Q1 and profit margin is a razor-thin 4.93% — any further earnings deterioration could trigger meaningful multiple compression [4]</w:t>
      </w:r>
    </w:p>
    <w:p>
      <w:pPr>
        <w:spacing w:before="40" w:after="40"/>
        <w:ind w:left="283"/>
      </w:pPr>
      <w:r>
        <w:rPr>
          <w:rFonts w:ascii="Calibri" w:hAnsi="Calibri"/>
          <w:b/>
          <w:color w:val="4A6B25"/>
          <w:sz w:val="20"/>
        </w:rPr>
        <w:t xml:space="preserve">3. </w:t>
      </w:r>
      <w:r>
        <w:rPr>
          <w:rFonts w:ascii="Calibri" w:hAnsi="Calibri"/>
          <w:b w:val="0"/>
          <w:color w:val="3A4A28"/>
          <w:sz w:val="20"/>
        </w:rPr>
        <w:t>Tariff exposure remains despite China diversification — 18% of sourcing still comes from China, and broader tariff escalation across other source countries (Vietnam, India, Brazil) could pressure margins beyond what price increases can offset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Floor &amp; Decor's core business has meaningful defensive moats against AI disruption — the company sells physical hard-surface flooring products (tile, wood, stone, vinyl) through warehouse-format stores where customers need to see, touch, and compare products in person before purchasing [1]. Heavy, fragile flooring products require specialized warehouse logistics and local distribution that AI cannot replicate. The Pro customer segment (professional installers) relies on personal relationships, trade credit, and immediate product availability rather than AI-driven alternatives. Installation services are inherently physical labor that AI cannot automate. However, some exposure exists: AI-powered e-commerce platforms could reduce foot traffic for retail customers, AI design tools could change how consumers select flooring (potentially bypassing the in-store design services that drive traffic), and AI logistics optimization could benefit larger competitors (Home Depot, Lowe's) with greater technology investment. No analyst has flagged AI as a specific disruption risk to specialty flooring retail. AI Opportunity (0/1): No AI-related revenue or products. Floor &amp; Decor has not publicly discussed AI integration in its operations, marketing, or customer experience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Floor &amp; Decor Q1 FY2026 Earnings Release and Earnings Call — Net Sales $1,152.3M (-0.7%), Comp Sales -3.7%, Pro +1.4%, Connected Customer 19% (+5.4%), FY2026 Guidance $4.77-4.99B, May 2026</w:t>
      </w:r>
    </w:p>
    <w:p>
      <w:pPr>
        <w:spacing w:before="20" w:after="20"/>
        <w:ind w:left="170"/>
      </w:pPr>
      <w:r>
        <w:rPr>
          <w:rFonts w:ascii="Calibri" w:hAnsi="Calibri"/>
          <w:b/>
          <w:color w:val="4A6B25"/>
          <w:sz w:val="15"/>
        </w:rPr>
        <w:t xml:space="preserve">2. </w:t>
      </w:r>
      <w:r>
        <w:rPr>
          <w:rFonts w:ascii="Calibri" w:hAnsi="Calibri"/>
          <w:b w:val="0"/>
          <w:color w:val="3A4A28"/>
          <w:sz w:val="17"/>
        </w:rPr>
        <w:t>Floor &amp; Decor Leadership Transition, Glassdoor Reviews, Culture — Tom Taylor to Executive Chair, Bradley Paulsen President, Glassdoor 3.2/5, High Turnover Reports, 2025-2026</w:t>
      </w:r>
    </w:p>
    <w:p>
      <w:pPr>
        <w:spacing w:before="20" w:after="20"/>
        <w:ind w:left="170"/>
      </w:pPr>
      <w:r>
        <w:rPr>
          <w:rFonts w:ascii="Calibri" w:hAnsi="Calibri"/>
          <w:b/>
          <w:color w:val="4A6B25"/>
          <w:sz w:val="15"/>
        </w:rPr>
        <w:t xml:space="preserve">3. </w:t>
      </w:r>
      <w:r>
        <w:rPr>
          <w:rFonts w:ascii="Calibri" w:hAnsi="Calibri"/>
          <w:b w:val="0"/>
          <w:color w:val="3A4A28"/>
          <w:sz w:val="17"/>
        </w:rPr>
        <w:t>Floor &amp; Decor China Sourcing Diversification, Tariff Impact, ESG Disclosures — China Imports Reduced 50% to 18%, Price Increases Planned, ESG Framework, 2018-2026</w:t>
      </w:r>
    </w:p>
    <w:p>
      <w:pPr>
        <w:spacing w:before="20" w:after="20"/>
        <w:ind w:left="170"/>
      </w:pPr>
      <w:r>
        <w:rPr>
          <w:rFonts w:ascii="Calibri" w:hAnsi="Calibri"/>
          <w:b/>
          <w:color w:val="4A6B25"/>
          <w:sz w:val="15"/>
        </w:rPr>
        <w:t xml:space="preserve">4. </w:t>
      </w:r>
      <w:r>
        <w:rPr>
          <w:rFonts w:ascii="Calibri" w:hAnsi="Calibri"/>
          <w:b w:val="0"/>
          <w:color w:val="3A4A28"/>
          <w:sz w:val="17"/>
        </w:rPr>
        <w:t>StockAnalysis, GuruFocus, TipRanks — FND Key Statistics: Forward P/E 29.73x, PEG 4.84, D/E 82%, ROE 8.53%, Profit Margin 4.93%, Stock Price $57.09,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