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FNV</w:t>
      </w:r>
      <w:r>
        <w:rPr>
          <w:rFonts w:ascii="Calibri" w:hAnsi="Calibri"/>
          <w:b/>
          <w:color w:val="1A2010"/>
          <w:sz w:val="40"/>
        </w:rPr>
        <w:t xml:space="preserve">  Franco-Nevada Corporation</w:t>
      </w:r>
    </w:p>
    <w:p>
      <w:pPr>
        <w:spacing w:after="120"/>
      </w:pPr>
      <w:r>
        <w:rPr>
          <w:rFonts w:ascii="Calibri" w:hAnsi="Calibri"/>
          <w:b/>
          <w:color w:val="6E8450"/>
          <w:sz w:val="18"/>
        </w:rPr>
        <w:t>GROWTH SLEEVE · 2026-10-21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Canada</w:t>
      </w:r>
    </w:p>
    <w:p>
      <w:pPr>
        <w:spacing w:after="80"/>
      </w:pPr>
      <w:r>
        <w:rPr>
          <w:rFonts w:ascii="Calibri" w:hAnsi="Calibri"/>
          <w:b w:val="0"/>
          <w:color w:val="3A4A28"/>
          <w:sz w:val="20"/>
        </w:rPr>
        <w:t>Franco-Nevada is the world's largest precious metals royalty and streaming company, generating revenue from a portfolio of 400+ mining and energy assets across South America, Central America, Mexico, the United States, Canada, Australia, Europe, and Africa. The company operates with zero debt and approximately 47 employees, collecting royalties and stream payments on gold, silver, platinum group metals, and energy production. H1 2026 revenue reached a record $1,231.6M (+67% YoY) on 268,758 GEOs sold (+13%), with 64.2% profit margin. Founded in 1986 and headquartered in Toronto, Canada.</w:t>
      </w:r>
    </w:p>
    <w:p>
      <w:r>
        <w:rPr>
          <w:rFonts w:ascii="Calibri" w:hAnsi="Calibri"/>
          <w:b/>
          <w:color w:val="6E8450"/>
          <w:sz w:val="18"/>
        </w:rPr>
        <w:t>https://www.franco-nevada.com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Franco-Nevada's royalty/streaming business model was itself a financial innovation pioneered by co-founder Pierre Lassonde in the 1980s, but the company has not executed a meaningful product launch, market pivot, or business model transformation in the last 5 years — the business model is inherently conservative by design, collecting royalties on third-party mining operations [1][2]. The Cote and Porcupine acquisitions added approximately 6,500 GEOs and $31.5M in Q1 revenue but represent portfolio additions, not innovation. AI Deployment (0/2): No evidence of AI-powered products, AI-driven operational improvements, or measurable AI results was found — the company operates with approximately 47 employees and minimal technology infrastructure as a financial intermediary [2]. Market Share (2/2): Franco-Nevada is the category leader and largest precious metals royalty/streaming company by market cap ($46.5B), with a portfolio of 400+ assets providing unmatched diversification and $4.3B in available capital for future acquisitions [1]. CEO Paul Brink was appointed Chair of the World Gold Council, reflecting the company's industry leadership position [2]. Product Pipeline (1/2): The company is tracking toward the upper half of 2026 annual guidance with $4.3B available capital for acquisitions, but specific deal pipeline, target assets, or timelines are not disclosed [1]. R&amp;D Intensity (0/1): No R&amp;D spending — the royalty/streaming model is a financial structure that does not require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Franco-Nevada's purpose is to provide mining companies with upfront capital through royalties and streams, enabling resource development while generating superior risk-adjusted returns for shareholders — a clear and somewhat distinctive model that differentiates from both miners and traditional financiers [1][2]. However, the mission is fundamentally about capital allocation rather than a transformative vision of a better future. Community Impact (0/2): No evidence of charitable foundations, community investment programs, or distinctive philanthropic initiatives. The royalty model means Franco-Nevada does not operate mines or have direct community engagement — it collects payments from operators, distancing the company from both the positive and negative community impacts of mining [2]. Employee Retention (1/2): The company operates with approximately 47 employees and demonstrates exceptional management continuity: CEO Paul Brink has been with the company since the 2007 IPO, co-founder Pierre Lassonde served for decades as Chairman before becoming Chairman Emeritus in 2020, and the lean team structure with long-tenured leadership suggests high retention [2]. Insider Buying (0/2): No evidence of meaningful net insider buying by management in the last 12 months found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0.73% below 2% threshold). Franco-Nevada's financial profile is exceptional across nearly every metric: D/E of 0% (score 1.0) reflects zero debt with $1.0B in cash, ROE of 19.9% (score 1.0, 2x weight) demonstrates strong capital efficiency, and profit margin of 64.2% (score 1.0) is extraordinary for any business model [1]. Revenue growth of 58.2% YoY (score 1.0) reflects the surge in gold prices plus Cobre Panama recovery base effects, with 5-year revenue CAGR of approximately 12% (score 1.0, 2x weight). Forward P/E of 27.2 is above the 20 target (score 0.82), reflecting the premium the market assigns to the royalty model's unique risk profile. PEG ratio is unavailable and excluded from calculation. Daily dollar volume of $183.7M provides strong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Franco-Nevada plays a meaningfully infinite game, built on a founding vision from Pierre Lassonde and Seymour Schulich that created a better business model for the mining industry — one that provides patient capital while avoiding operational risk. The model has been validated through multiple gold cycles, leadership transitions (Lassonde to Harquail to Brink), and the Cobre Panama crisis, demonstrating resilience and consistency of purpose. CEO Paul Brink's disciplined navigation of the $1B Cobre Panama impairment — maintaining dividends, avoiding panic, pursuing diversification — exemplifies courage to lead. The main limitation is that the company's 'cause' is fundamentally about capital allocation efficiency rather than a bold vision of a different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Franco-Nevada's founding vision was genuinely distinctive — Pierre Lassonde and Seymour Schulich created the royalty/streaming model in the 1980s as a better way to invest in mining, providing patient capital to operators while generating superior risk-adjusted returns without operational risk [2]. This vision has been validated through nearly 40 years of consistent execution across multiple gold cycles, two leadership transitions (Lassonde to Harquail to Brink), and the Cobre Panama crisis. Strategic decisions trace back to the founding principle: zero debt, portfolio diversification, and disciplined capital allocation. However, the cause is about capital allocation rather than a transformative vision of a better world, preventing a score of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Franco-Nevada operates with approximately 47 employees and demonstrates exceptional management continuity — CEO Paul Brink has been with the company since the 2007 IPO, served as head of business development, and was appointed Chair of the World Gold Council in September 2026, reflecting industry-wide respect [2]. Co-founder Pierre Lassonde served for decades before becoming Chairman Emeritus. The lean team structure suggests a high-trust environment where individuals carry significant responsibility, but the team is too small to evaluate traditional organizational trust dynamics like layoff practices or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Franco-Nevada competes with Wheaton Precious Metals and Royal Gold in the royalty/streaming space, and management focuses on improving portfolio quality, maintaining zero debt, and disciplined capital allocation rather than attacking competitors [1][2]. The company's competitive strategy is self-referencing — it evaluates deals against its own return thresholds and walks away from acquisitions that don't meet criteria, demonstrating the self-improvement orientation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Franco-Nevada has evolved from a pure gold royalty company to a diversified portfolio spanning precious metals, silver, PGMs, base metals, and energy royalties, and added streaming alongside the original royalty structure [1]. The company survived the Cobre Panama shutdown — which eliminated 15-20% of pre-shutdown revenue through a $1B impairment — by doubling down on portfolio diversification through the Cote, Porcupine, and other acquisitions. This represents meaningful but incremental evolution rather than a transformative pivot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Paul Brink navigated the $1B Cobre Panama impairment without panic, maintaining the dividend, maintaining zero debt, and pursuing aggressive portfolio diversification through new acquisitions [1][2]. The company's consistent discipline in not overpaying for assets during gold booms — walking away from deals that don't meet return thresholds even when flush with $4.3B in available capital — demonstrates choosing long-term capability over short-term revenue optimization. Franco-Nevada's founding decision to never take on debt, maintained for 19 years through multiple gold cycles, reflects principled capital allocation that sacrifices potential returns for permanent balance sheet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Franco-Nevada at $241.12 with a $46.5B market cap is the world's premier precious metals royalty/streaming company delivering record results — H1 2026 revenue surged 67% to $1,231.6M on 268,758 GEOs sold (+13%), with record net income of $822.6M (+80%) and a 64.2% profit margin [1]. The zero-debt balance sheet ($1.0B cash, $4.3B available capital), 19 consecutive years of dividend payments with 17 years of growth, and a 400+ asset portfolio provide unmatched diversification in the precious metals space. Q2 2026 revenue rose 57% to $580.9M as gold prices surged and GEO sales increased 18% to 132,405, with energy revenue also growing to $46.2M from $38.5M YoY. Management is tracking toward the upper half of 2026 guidance, and the Cote/Porcupine acquisitions contributed 6,500 GEOs in Q1, demonstrating continued portfolio growth [1].</w:t>
      </w:r>
    </w:p>
    <w:p>
      <w:pPr>
        <w:spacing w:after="120"/>
      </w:pPr>
      <w:r>
        <w:rPr>
          <w:rFonts w:ascii="Calibri" w:hAnsi="Calibri"/>
          <w:b w:val="0"/>
          <w:color w:val="3A4A28"/>
          <w:sz w:val="20"/>
        </w:rPr>
        <w:t>The bear case centers on premium valuation, gold price dependency, and concentration risk. At 27.2x forward earnings and 31.5x trailing, Franco-Nevada commands a valuation premium of nearly 2x versus gold miners, which is justified only if the royalty model's superior margins and lower risk persist [1]. The 58.2% YoY revenue growth is heavily driven by gold price appreciation rather than organic volume growth — GEOs sold rose only 13% while revenue surged 57%, meaning the business is essentially a leveraged gold price play disguised as a growth stock. The Cobre Panama arbitration (hearing set for October 2026) represents both upside optionality and risk — a favorable resolution could restore 15-20% of pre-shutdown production to the portfolio, but an unfavorable outcome would write off the $1B+ impairment permanently [1][3]. Dividend yield of 0.73% is too low for income investors, and the stock has no earnings diversification — a sustained gold price decline would compress revenue, earnings, and the multiple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tailwind — Franco-Nevada's revenue is directly leveraged to gold prices with near-zero variable costs, and with gold near record highs and central bank purchases supporting demand, the revenue and margin trajectory could exceed current guidance range [1]</w:t>
      </w:r>
    </w:p>
    <w:p>
      <w:pPr>
        <w:spacing w:before="40" w:after="40"/>
        <w:ind w:left="283"/>
      </w:pPr>
      <w:r>
        <w:rPr>
          <w:rFonts w:ascii="Calibri" w:hAnsi="Calibri"/>
          <w:b/>
          <w:color w:val="4A6B25"/>
          <w:sz w:val="20"/>
        </w:rPr>
        <w:t xml:space="preserve">2. </w:t>
      </w:r>
      <w:r>
        <w:rPr>
          <w:rFonts w:ascii="Calibri" w:hAnsi="Calibri"/>
          <w:b w:val="0"/>
          <w:color w:val="3A4A28"/>
          <w:sz w:val="20"/>
        </w:rPr>
        <w:t>Cobre Panama arbitration resolution — the October 2026 hearing and Panama's ministerial commission recommending negotiations with First Quantum could lead to a restart that would restore 15-20% of pre-shutdown revenue to the portfolio, representing significant upside optionality [3]</w:t>
      </w:r>
    </w:p>
    <w:p>
      <w:pPr>
        <w:spacing w:before="40" w:after="40"/>
        <w:ind w:left="283"/>
      </w:pPr>
      <w:r>
        <w:rPr>
          <w:rFonts w:ascii="Calibri" w:hAnsi="Calibri"/>
          <w:b/>
          <w:color w:val="4A6B25"/>
          <w:sz w:val="20"/>
        </w:rPr>
        <w:t xml:space="preserve">3. </w:t>
      </w:r>
      <w:r>
        <w:rPr>
          <w:rFonts w:ascii="Calibri" w:hAnsi="Calibri"/>
          <w:b w:val="0"/>
          <w:color w:val="3A4A28"/>
          <w:sz w:val="20"/>
        </w:rPr>
        <w:t>$4.3B available capital for portfolio expansion — the company's acquisition firepower and zero-debt balance sheet position it to capitalize on distressed mining assets or new royalty/streaming deals, with the Cote and Porcupine acquisitions demonstrating continued deal activity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concentration — 58.2% YoY revenue growth was driven primarily by gold price appreciation rather than volume growth (GEOs +13% vs. revenue +57%), making Franco-Nevada essentially a leveraged gold price play where sustained price declines would compress revenue, earnings, and the premium valuation multiple simultaneously [1]</w:t>
      </w:r>
    </w:p>
    <w:p>
      <w:pPr>
        <w:spacing w:before="40" w:after="40"/>
        <w:ind w:left="283"/>
      </w:pPr>
      <w:r>
        <w:rPr>
          <w:rFonts w:ascii="Calibri" w:hAnsi="Calibri"/>
          <w:b/>
          <w:color w:val="4A6B25"/>
          <w:sz w:val="20"/>
        </w:rPr>
        <w:t xml:space="preserve">2. </w:t>
      </w:r>
      <w:r>
        <w:rPr>
          <w:rFonts w:ascii="Calibri" w:hAnsi="Calibri"/>
          <w:b w:val="0"/>
          <w:color w:val="3A4A28"/>
          <w:sz w:val="20"/>
        </w:rPr>
        <w:t>Cobre Panama arbitration uncertainty — the $1B+ impairment remains unresolved with arbitration hearing in October 2026, and a Panamanian ministerial commission's recommendation to negotiate prioritizes 'the Nation's environmental, social and economic interests,' suggesting any resolution could significantly reduce Franco-Nevada's stream economics [3]</w:t>
      </w:r>
    </w:p>
    <w:p>
      <w:pPr>
        <w:spacing w:before="40" w:after="40"/>
        <w:ind w:left="283"/>
      </w:pPr>
      <w:r>
        <w:rPr>
          <w:rFonts w:ascii="Calibri" w:hAnsi="Calibri"/>
          <w:b/>
          <w:color w:val="4A6B25"/>
          <w:sz w:val="20"/>
        </w:rPr>
        <w:t xml:space="preserve">3. </w:t>
      </w:r>
      <w:r>
        <w:rPr>
          <w:rFonts w:ascii="Calibri" w:hAnsi="Calibri"/>
          <w:b w:val="0"/>
          <w:color w:val="3A4A28"/>
          <w:sz w:val="20"/>
        </w:rPr>
        <w:t>Premium valuation risk at 27.2x forward earnings — Franco-Nevada trades at nearly 2x the valuation of gold miners, and any compression of the royalty model premium due to competitive pressure from Wheaton Precious Metals or Royal Gold, or investor rotation out of gold equities, would create multiple contraction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Franco-Nevada's business is collecting royalties and stream payments on physical mining operations — AI cannot replace gold mines, copper mines, or the physical extraction and processing of precious metals from the earth [1][2]. The royalty/streaming model is even more immune than the miners themselves: Franco-Nevada bears no operating costs, no capital expenditure risk, and no execution risk — it simply collects a contractual percentage of physical production or revenue. Furthermore, AI data centers driving massive electricity demand are accelerating the build-out of energy infrastructure, potentially benefiting Franco-Nevada's energy royalty portfolio ($46.2M in Q2 2026 U.S. Energy revenue), and increased industrial demand from AI hardware manufacturing benefits base metals in the portfolio [1]. AI Opportunity (0/1): Franco-Nevada does not generate any AI-related revenue — the company is a passive royalty collector with no technology products, no AI deployment, and approximately 47 employees managing a financial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Franco-Nevada Q2 2026 Earnings Release — Revenue $580.9M (+57% YoY), GEOs 132,405 (+18%), Adjusted Net Income $349.2M ($1.81/share), H1 Revenue Record $1,231.6M (+67%), PRNewswire and SEC 6-K, August 2026</w:t>
      </w:r>
    </w:p>
    <w:p>
      <w:pPr>
        <w:spacing w:before="20" w:after="20"/>
        <w:ind w:left="170"/>
      </w:pPr>
      <w:r>
        <w:rPr>
          <w:rFonts w:ascii="Calibri" w:hAnsi="Calibri"/>
          <w:b/>
          <w:color w:val="4A6B25"/>
          <w:sz w:val="15"/>
        </w:rPr>
        <w:t xml:space="preserve">2. </w:t>
      </w:r>
      <w:r>
        <w:rPr>
          <w:rFonts w:ascii="Calibri" w:hAnsi="Calibri"/>
          <w:b w:val="0"/>
          <w:color w:val="3A4A28"/>
          <w:sz w:val="17"/>
        </w:rPr>
        <w:t>Franco-Nevada Leadership and Strategy — CEO Paul Brink (since 2020, World Gold Council Chair Sept 2026), Co-Founder Pierre Lassonde Chairman Emeritus, ~47 Employees, $4.3B Available Capital, Mining.com and MiningDigital, 2026</w:t>
      </w:r>
    </w:p>
    <w:p>
      <w:pPr>
        <w:spacing w:before="20" w:after="20"/>
        <w:ind w:left="170"/>
      </w:pPr>
      <w:r>
        <w:rPr>
          <w:rFonts w:ascii="Calibri" w:hAnsi="Calibri"/>
          <w:b/>
          <w:color w:val="4A6B25"/>
          <w:sz w:val="15"/>
        </w:rPr>
        <w:t xml:space="preserve">3. </w:t>
      </w:r>
      <w:r>
        <w:rPr>
          <w:rFonts w:ascii="Calibri" w:hAnsi="Calibri"/>
          <w:b w:val="0"/>
          <w:color w:val="3A4A28"/>
          <w:sz w:val="17"/>
        </w:rPr>
        <w:t>Franco-Nevada Cobre Panama — $1B Impairment, November 2023 Shutdown, October 2026 Arbitration Hearing, Panama Ministerial Commission Recommends Negotiations, PRNewswire and StockTitan,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