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FORM</w:t>
      </w:r>
      <w:r>
        <w:rPr>
          <w:rFonts w:ascii="Calibri" w:hAnsi="Calibri"/>
          <w:b/>
          <w:color w:val="1A2010"/>
          <w:sz w:val="40"/>
        </w:rPr>
        <w:t xml:space="preserve">  FormFactor, Inc.</w:t>
      </w:r>
    </w:p>
    <w:p>
      <w:pPr>
        <w:spacing w:after="120"/>
      </w:pPr>
      <w:r>
        <w:rPr>
          <w:rFonts w:ascii="Calibri" w:hAnsi="Calibri"/>
          <w:b/>
          <w:color w:val="6E8450"/>
          <w:sz w:val="18"/>
        </w:rPr>
        <w:t>GROWTH SLEEVE · 2026-09-20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 Equipment &amp; Materials · NASDAQ · United States</w:t>
      </w:r>
    </w:p>
    <w:p>
      <w:pPr>
        <w:spacing w:after="80"/>
      </w:pPr>
      <w:r>
        <w:rPr>
          <w:rFonts w:ascii="Calibri" w:hAnsi="Calibri"/>
          <w:b w:val="0"/>
          <w:color w:val="3A4A28"/>
          <w:sz w:val="20"/>
        </w:rPr>
        <w:t>FormFactor is the world's leading provider of semiconductor wafer probe cards and test solutions used in the manufacturing and testing of integrated circuits. The company serves DRAM, HBM, Foundry &amp; Logic, and Flash memory markets. Q2 2026 revenue reached a record $258.2M (+31.9% YoY, +14.2% QoQ) driven by record DRAM revenue from High Bandwidth Memory demand and significant Foundry &amp; Logic growth from networking applications. Gross margins expanded 1,500 basis points over four quarters as FormFactor tripled EPS. FY2026 EPS is expected to grow 94% to approximately $1.36.</w:t>
      </w:r>
    </w:p>
    <w:p>
      <w:r>
        <w:rPr>
          <w:rFonts w:ascii="Calibri" w:hAnsi="Calibri"/>
          <w:b/>
          <w:color w:val="6E8450"/>
          <w:sz w:val="18"/>
        </w:rPr>
        <w:t>3,200 Employees · https://www.formfactor.com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FormFactor has successfully pivoted from commodity DRAM probe cards to become the critical testing infrastructure for AI-driven semiconductor applications, achieving record revenue of $258.2M in Q2 2026 (+31.9% YoY) with gross margin expanding 1,500 basis points over four quarters [1]. The company tripled EPS and delivered record DRAM revenue driven by High Bandwidth Memory (HBM) applications and significant Foundry &amp; Logic growth from networking chips — a meaningful business transformation driven by the AI semiconductor buildout. AI Deployment (1/2): FormFactor's probe cards are essential infrastructure for testing AI chips — HBM memory used in NVIDIA H100/B200 GPUs, and advanced networking ASICs for AI data centers [1]. While the company does not sell AI-powered products, its technology directly enables AI semiconductor manufacturing and testing, with HBM and Co-Packaged Optics (CPO) as primary growth drivers. Market Share (2/2): FormFactor is the global leader in semiconductor probe cards, holding dominant market share in advanced wafer-level testing for DRAM/HBM and Foundry &amp; Logic applications [1]. The company's technology leadership in HBM probe cards — where testing complexity is significantly higher than standard DRAM — creates a strong competitive position as each HBM generation requires new probe card designs. Pipeline (1/2): Visible demand pipeline from HBM roadmap progression (HBM3, HBM3E, HBM4) and growing CPO adoption, each requiring new probe card designs with increasing complexity and content per wafer [1]. However, specific next-generation product launches with dates and revenue visibility were not identified. R&amp;D Intensity (1/1): Semiconductor equipment companies are R&amp;D intensive by nature, and FormFactor's technology leadership in advanced probe card architectures requires sustained investment above industry averages.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FormFactor's purpose centers on optimizing semiconductor test and enabling the industry's most advanced technologies. This is clear and connects to technological progress — enabling the chips that power the digital world — but is a functional description rather than an inspirational vision that transcends the business [2]. Community Impact (0/2): No specific community programs, philanthropic initiatives, or charitable dollar amounts were identified in available materials [3]. The company acknowledges ESG responsibilities in SEC filings but no distinctive community investment was documented. Employee Retention (0/2): CEO Mike Slessor has led FormFactor since 2014 — 12 years of tenure providing strong leadership continuity [2]. However, Glassdoor rating of 3.2/5 across 260 reviews is below average for technology companies. Reviews describe a 'good ole boys club' culture alongside praise for CEO transparency and improved work environment [2]. The mixed signals do not constitute evidence of exceptional trust or retention. Insider Buying (0/2): No evidence of meaningful net insider buying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2.7% is exceptionally low, well below the 70% target — FormFactor operates with virtually no debt, providing maximum financial flexibility [4]. ROE of 11.0% falls below the 15% target, scoring 0.73 at 2x weight, reflecting the company's conservative capital structure and recent earnings recovery rather than poor capital efficiency [4]. Revenue growth YoY of 31.9% substantially exceeds the 10% target, driven by HBM and AI semiconductor demand [1]. Forward P/E of 34.1 scores 0.65 against the 20 target — elevated for an industrial company but consistent with high-growth semi equipment peers [4]. Profit margin of 12.8% scores 0.64 against the 20% target, improving rapidly with 1,500bps gross margin expansion over four quarters [1]. Forward PEG estimated at 0.36 (Forward P/E 34.1 / 94% expected EPS growth) is well below the 1.0 target, scoring full marks at 2x weight [4]. Revenue growth 5yr CAGR excluded as unavailable. Liquidity clears easily at ~$177.6M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FormFactor operates with strong technical leadership under CEO Slessor's 12-year tenure but lacks the organizational culture depth that Sinek would associate with infinite game thinking. The company excels at adapting to technology trends — the HBM pivot demonstrates strategic awareness — but Glassdoor reviews revealing a 'good ole boys club' culture and below-average employee satisfaction suggest the organizational foundation is not built on trust and purpose. The company plays to win each semiconductor cycle rather than to endure beyond any specific technology trend.</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FormFactor's purpose — enabling semiconductor testing for the digital world — describes what the company does rather than articulating a vision of a future state that transcends its business [2]. CEO Slessor's leadership is technically excellent, delivering record results, but management commentary focuses on market share, technology roadmaps, and financial metrics rather than a cause that would inspire sacrifice. The company exists to be the best probe card company, which is a competitive mission, not a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Slessor's 12-year tenure provides leadership continuity, and some Glassdoor reviews praise 'excellent communications and transparency from CEO on down' and note the work environment has 'improved drastically' [2]. However, the overall 3.2/5 Glassdoor rating across 260 reviews is below average for a technology company, and criticism of a 'good ole boys club' culture suggests uneven psychological safety. The mixed reviews — with transparency praised alongside cultural complaints — indicate adequate but not exceptional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FormFactor framing competition in terms of learning from rivals. The company competes against Technoprobe and MPI Corporation in probe cards, but management commentary focuses on market share leadership and technology superiority rather than acknowledging competitors' strengths or using rivalry for self-improvement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FormFactor has demonstrated meaningful strategic adaptation — evolving from legacy MEMS-based probe technology to advanced wafer-level testing, and pivoting its demand mix from commodity DRAM to high-value HBM and Co-Packaged Optics applications [1]. The company anticipated the AI semiconductor wave and positioned its technology portfolio to capture HBM testing demand before competitors. This represents genuine strategic flexibility, though the core business of making probe cards remains fundamentally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Slessor invested in HBM and advanced packaging probe card technology ahead of the AI semiconductor boom, a technology bet that required sustained R&amp;D investment before the demand materialized [1]. The company maintained technology investments through the 2023-2024 semiconductor downturn when revenue declined significantly. However, no evidence of multiple courageous decisions that sacrificed near-term results — the HBM pivot was technology-following rather than contrarian.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FormFactor is the dominant global probe card manufacturer positioned at the epicenter of the AI semiconductor testing cycle. Q2 2026 revenue hit a record $258.2M (+31.9% YoY) with gross margins expanding 1,500bps over four quarters and EPS tripling, driven by record DRAM revenue from HBM applications and significant Foundry &amp; Logic growth from AI networking chips [1]. The virtually debt-free balance sheet (D/E 2.7%) provides maximum financial flexibility, and at a forward PEG of 0.36 (Forward P/E 34.1 / 94% expected EPS growth), the growth is attractively priced for a technology leader with no debt and dominant market share [4]. The HBM roadmap (HBM3, HBM3E, HBM4) and Co-Packaged Optics adoption create multi-year visibility for increasing probe card complexity and content per wafer.</w:t>
      </w:r>
    </w:p>
    <w:p>
      <w:pPr>
        <w:spacing w:after="120"/>
      </w:pPr>
      <w:r>
        <w:rPr>
          <w:rFonts w:ascii="Calibri" w:hAnsi="Calibri"/>
          <w:b w:val="0"/>
          <w:color w:val="3A4A28"/>
          <w:sz w:val="20"/>
        </w:rPr>
        <w:t>The bear case centers on cyclicality, valuation, and organizational culture. Semiconductor equipment is deeply cyclical, and FormFactor's 502.5% trailing EPS growth reflects recovery from a severe 2024 downturn rather than sustainable growth rates — the trailing P/E of 82x reflects this distortion [4]. Forward P/E of 34x is elevated relative to broader semi equipment peers, pricing in continued HBM demand acceleration that could disappoint if AI capex slows. Profit margin of 12.8%, while rapidly improving, remains below the 20% target and reflects the company's manufacturing-intensive business model [4]. The Glassdoor rating of 3.2/5 and 'good ole boys club' cultural criticism raise concerns about the company's ability to attract and retain top engineering talent in a competitive semiconductor labor market [2]. ROE of 11.0% below the 15% target suggests the conservative capital structure may be under-optimizing returns. The company's fortunes are heavily concentrated in HBM and AI — any slowdown in AI semiconductor investment would disproportionately impact FormFactor.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HBM roadmap progression — each generation (HBM3E to HBM4) increases probe card complexity and content per wafer, driving secular revenue growth independent of unit volume, with NVIDIA, AMD, and memory manufacturers all expanding HBM production capacity [1]</w:t>
      </w:r>
    </w:p>
    <w:p>
      <w:pPr>
        <w:spacing w:before="40" w:after="40"/>
        <w:ind w:left="283"/>
      </w:pPr>
      <w:r>
        <w:rPr>
          <w:rFonts w:ascii="Calibri" w:hAnsi="Calibri"/>
          <w:b/>
          <w:color w:val="4A6B25"/>
          <w:sz w:val="20"/>
        </w:rPr>
        <w:t xml:space="preserve">2. </w:t>
      </w:r>
      <w:r>
        <w:rPr>
          <w:rFonts w:ascii="Calibri" w:hAnsi="Calibri"/>
          <w:b w:val="0"/>
          <w:color w:val="3A4A28"/>
          <w:sz w:val="20"/>
        </w:rPr>
        <w:t>Co-Packaged Optics adoption for AI networking — CPO integration into switch ASICs and interconnects creates a new, high-value probe card demand category beyond memory, diversifying FormFactor's AI exposure [1]</w:t>
      </w:r>
    </w:p>
    <w:p>
      <w:pPr>
        <w:spacing w:before="40" w:after="40"/>
        <w:ind w:left="283"/>
      </w:pPr>
      <w:r>
        <w:rPr>
          <w:rFonts w:ascii="Calibri" w:hAnsi="Calibri"/>
          <w:b/>
          <w:color w:val="4A6B25"/>
          <w:sz w:val="20"/>
        </w:rPr>
        <w:t xml:space="preserve">3. </w:t>
      </w:r>
      <w:r>
        <w:rPr>
          <w:rFonts w:ascii="Calibri" w:hAnsi="Calibri"/>
          <w:b w:val="0"/>
          <w:color w:val="3A4A28"/>
          <w:sz w:val="20"/>
        </w:rPr>
        <w:t>Continued margin expansion — 1,500bps of gross margin improvement over four quarters suggests structural operating leverage as revenue scales, with FY2026 EPS expected to grow 94% to $1.36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Semiconductor cyclicality — FormFactor's 502.5% trailing EPS growth reflects recovery from a deep downturn, and the next cycle correction could compress earnings and the 34x forward multiple simultaneously, amplifying downside [4]</w:t>
      </w:r>
    </w:p>
    <w:p>
      <w:pPr>
        <w:spacing w:before="40" w:after="40"/>
        <w:ind w:left="283"/>
      </w:pPr>
      <w:r>
        <w:rPr>
          <w:rFonts w:ascii="Calibri" w:hAnsi="Calibri"/>
          <w:b/>
          <w:color w:val="4A6B25"/>
          <w:sz w:val="20"/>
        </w:rPr>
        <w:t xml:space="preserve">2. </w:t>
      </w:r>
      <w:r>
        <w:rPr>
          <w:rFonts w:ascii="Calibri" w:hAnsi="Calibri"/>
          <w:b w:val="0"/>
          <w:color w:val="3A4A28"/>
          <w:sz w:val="20"/>
        </w:rPr>
        <w:t>AI capex concentration risk — FormFactor's growth is heavily levered to HBM and AI networking demand; any slowdown in hyperscaler AI infrastructure spending or a shift to alternative memory architectures would disproportionately impact the company [1]</w:t>
      </w:r>
    </w:p>
    <w:p>
      <w:pPr>
        <w:spacing w:before="40" w:after="40"/>
        <w:ind w:left="283"/>
      </w:pPr>
      <w:r>
        <w:rPr>
          <w:rFonts w:ascii="Calibri" w:hAnsi="Calibri"/>
          <w:b/>
          <w:color w:val="4A6B25"/>
          <w:sz w:val="20"/>
        </w:rPr>
        <w:t xml:space="preserve">3. </w:t>
      </w:r>
      <w:r>
        <w:rPr>
          <w:rFonts w:ascii="Calibri" w:hAnsi="Calibri"/>
          <w:b w:val="0"/>
          <w:color w:val="3A4A28"/>
          <w:sz w:val="20"/>
        </w:rPr>
        <w:t>Organizational culture concerns — Glassdoor rating of 3.2/5 and 'good ole boys club' criticism risk talent attrition in a tight semiconductor engineering labor market, potentially undermining the technology leadership that drives market share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FormFactor IS AI semiconductor infrastructure — the company's probe cards are physically essential for testing every AI chip before it ships, including HBM memory used in NVIDIA GPUs, advanced networking ASICs, and Foundry &amp; Logic chips for AI accelerators [1]. AI structurally cannot replace the need for physical semiconductor testing; in fact, AI dramatically increases demand for FormFactor's products because AI chips have more complex testing requirements (HBM testing is significantly more complex than standard DRAM), higher pin counts, tighter tolerances, and greater quality requirements. Every HBM generation (HBM3, HBM3E, HBM4) requires new, more sophisticated probe cards. The company is immune to AI disruption and is one of the primary beneficiaries of the AI buildout cycle. AI Opportunity (1/1): FormFactor generates substantial revenue directly from AI-related semiconductor testing. Record DRAM revenue in Q2 2026 was driven by HBM applications for AI GPUs, and Foundry &amp; Logic growth came from networking chips used in AI data center infrastructure [1]. AI is the company's primary growth driver, with HBM and Co-Packaged Optics representing the fastest-growing segments.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FormFactor Q2 2026 Earnings Release — Record Revenue $258.2M (+31.9% YoY, +14.2% QoQ), Record DRAM Revenue from HBM, Foundry &amp; Logic Growth from Networking, Gross Margin +1,500bps Over Four Quarters, FY2026 EPS ~$1.36 (+94% YoY), July 2026</w:t>
      </w:r>
    </w:p>
    <w:p>
      <w:pPr>
        <w:spacing w:before="20" w:after="20"/>
        <w:ind w:left="170"/>
      </w:pPr>
      <w:r>
        <w:rPr>
          <w:rFonts w:ascii="Calibri" w:hAnsi="Calibri"/>
          <w:b/>
          <w:color w:val="4A6B25"/>
          <w:sz w:val="15"/>
        </w:rPr>
        <w:t xml:space="preserve">2. </w:t>
      </w:r>
      <w:r>
        <w:rPr>
          <w:rFonts w:ascii="Calibri" w:hAnsi="Calibri"/>
          <w:b w:val="0"/>
          <w:color w:val="3A4A28"/>
          <w:sz w:val="17"/>
        </w:rPr>
        <w:t>FormFactor Leadership and Culture — CEO Mike Slessor (since 2014, 12 Years), Glassdoor 3.2/5 (260 Reviews), Comparably Executive Team, formfactor.com/leadership,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FormFactor ESG Profile — ESG Risk Acknowledgment in SEC 10-K Filings, No Specific ESG Controversies Identified, Inspire Impact Score 49 (ALIGNED),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FormFactor Financial Data — Yahoo Finance: Stock Price $118.38, Market Cap $9.2B, Forward P/E 34.1, PE 82.2, ROE 11.0%, D/E 2.7%, Profit Margin 12.8%, Avg Volume 1.50M,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