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FOUR</w:t>
      </w:r>
      <w:r>
        <w:rPr>
          <w:rFonts w:ascii="Calibri" w:hAnsi="Calibri"/>
          <w:b/>
          <w:color w:val="1A2010"/>
          <w:sz w:val="40"/>
        </w:rPr>
        <w:t xml:space="preserve">  Shift4 Payments, Inc.</w:t>
      </w:r>
    </w:p>
    <w:p>
      <w:pPr>
        <w:spacing w:after="120"/>
      </w:pPr>
      <w:r>
        <w:rPr>
          <w:rFonts w:ascii="Calibri" w:hAnsi="Calibri"/>
          <w:b/>
          <w:color w:val="6E8450"/>
          <w:sz w:val="18"/>
        </w:rPr>
        <w:t>GROWTH SLEEVE · 2026-09-08 · Inspire: 50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Infrastructure · NYSE · United States</w:t>
      </w:r>
    </w:p>
    <w:p>
      <w:pPr>
        <w:spacing w:after="80"/>
      </w:pPr>
      <w:r>
        <w:rPr>
          <w:rFonts w:ascii="Calibri" w:hAnsi="Calibri"/>
          <w:b w:val="0"/>
          <w:color w:val="3A4A28"/>
          <w:sz w:val="20"/>
        </w:rPr>
        <w:t>Shift4 Payments provides integrated payment processing, commerce, and point-of-sale solutions to hospitality, restaurant, retail, sports and entertainment, gaming, and luxury retail verticals. Its platform processes over $240B in annual volume across 15+ countries, expanded globally through the 2025 Global Blue/Worldline acquisition. Q2 2026 delivered $1.3B gross revenue (+34% YoY) with gross revenue less network fees up 51% and international payments-based RLNF growing 53%. Full-year 2026 guidance: $2.48-2.53B GRLNF, $1.15-1.18B adjusted EBITDA. CEO Taylor Lauber succeeded founder Jared Isaacman. Headquartered in Allentown, Pennsylvania.</w:t>
      </w:r>
    </w:p>
    <w:p>
      <w:r>
        <w:rPr>
          <w:rFonts w:ascii="Calibri" w:hAnsi="Calibri"/>
          <w:b/>
          <w:color w:val="6E8450"/>
          <w:sz w:val="18"/>
        </w:rPr>
        <w:t>6,300 Employees · https://www.shift4.com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Shift4 has executed multiple transformative expansions — from US restaurant POS to integrated payments, to stadium/entertainment, to global luxury retail through the $2B+ Global Blue/Worldline acquisition in 2025, growing gross revenue from $766M (FY2020) to $5B+ run rate [1]. Q2 2026 gross revenue surged 34% YoY with international RLNF up 53%, demonstrating the acquisition is scaling rapidly. AI Deployment (1/2): Shift4 partnered with Elon Musk's xAI to leverage customer data for answering customer questions and reducing cart abandonment, as announced by CEO Taylor Lauber in February 2026 [2]. AI-powered tokenization enables personalized payment experiences, though no quantified AI revenue is reported. Market Share (2/2): #1 market share in tax-free shopping globally through Global Blue with 4x lead over nearest competitor, dominant in US hospitality/lodging payments, and rapidly gaining share with SkyTab POS (rebranded Shift4 Dine) across restaurants [1]. Q2 volume of $61B (+22% YoY) demonstrates scaling market position. Product Pipeline (1/2): All-in-one terminal expanding across 15 countries with 80K+ international merchants. New Chief Payments Officer Timothy Goodwin and President of Shift4 International Pier Francesco Nervini (April 2026) lead execution [2]. R&amp;D Intensity (1/1): Significant software development investment across payments platform, POS, and AI integration with 6,300 employees.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Shift4's mission to 'empower partners and customers with a complete payment solution' is clear and functional but not distinctive — interchangeable with any payments competitor's positioning [3]. The company's origin story (Jared Isaacman founding it at age 16) is compelling but the mission itself lacks deeper purpose. Community Impact (1/2): Shift4Cares gift-card program supported COVID-era hospitality merchants with 5% company contribution; the company won a 2022 Golden Latin Award for Philanthropic Business of the Year, demonstrating genuine community investment aligned with its merchant base [3]. Employee Retention (0/2): Glassdoor rating of 3.3/5 with only 46% of employees recommending the company to a friend, and compensation ratings declining over the past 12 months signal cultural strain during the leadership transition from founder Isaacman to CEO Lauber [2]. Insider Buying (0/2): Founder Jared Isaacman departed for NASA Administrator role. CEO Taylor Lauber was internally promoted, but no meaningful net insider buying identified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Growth stock metrics. Shift4 delivers exceptional top-line growth: Q2 2026 gross revenue up 34% YoY with RLNF up 51%, and 5-year revenue CAGR of ~40% is among the fastest in payments [1]. Forward P/E of 8.17 and PEG of 0.49 are compelling for a 30%+ revenue compounder, both scoring 1.0 (PEG at 2x weight) [4]. Full-year 2026 guidance of $1.15-1.18B adjusted EBITDA and $465-475M adjusted free cash flow demonstrate scaling profitability. However, D/E of 257% is severely elevated from the Global Blue acquisition ($4.58B total debt vs. $473M cash), scoring only 0.19 [4]. GAAP profit margin of 2.63% is depressed by acquisition-related amortization and interest expense, scoring 0.13. ROE of 9.94% (2x weight) scores 0.66, below the 15% target as the heavy debt load dilutes equity returns. Liquidity floor passed: ~1.5M shares x $51 = $76.5M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Shift4 demonstrates some infinite game qualities through bold strategic bets (Global Blue acquisition at $2B+ with D/E ballooning to 257%) and repeated business model expansion from restaurant POS to global integrated payments. However, the founder's departure for NASA, governance concerns around board independence, and competitive language focused on market share capture rather than self-improvement reveal a company whose long-term orientation is uncertain. The guidance cut due to geopolitical/travel disruptions and FX headwinds tests whether new leadership maintains strategic conviction through adversity.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Shift4's mission to 'empower merchants with payment solutions' is functional but shallow in Sinek's framework — it reads as commercially oriented language, not a cause that inspires sacrifice or shapes multi-decade strategic decisions [3]. Founder Isaacman's departure to lead NASA suggests the company's cause was not compelling enough to retain its most visionary leader. CEO Taylor Lauber has stated 'If we stand still, we will not survive,' which frames the company's purpose in survival terms rather than aspiration.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Internal promotion of Taylor Lauber (7-year veteran) and strategic executive appointments — Chief Payments Officer Timothy Goodwin, President International Pier Francesco Nervini — indicate organizational bench depth and continuity [2]. However, Glassdoor at 3.3/5 with only 46% recommending the company, prior CFO and board departures, and governance concerns around board independence (committee chair Sarah Goldsmith-Grover not considered independent) suggest adequate but strained organizational trust [3].</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Shift4's competitive commentary is consistently share-take oriented against Toast, Block, and Stripe — framing competition as market share capture ('fastest share gainer') rather than learning from rivals' strengths [2]. Management emphasizes winning merchants from competitors rather than improving capabilities through competitive pressure. This is finite competitive framing.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Shift4 has evolved through multiple adjacent-market expansions — restaurant POS to integrated payments, to stadium/entertainment, to international luxury retail via Global Blue — each expanding TAM materially [1]. International RLNF growing 53% YoY demonstrates the latest expansion is gaining traction. However, these are incremental adjacencies within payments rather than a transformative reinvention of the core business model.</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$2B+ Global Blue acquisition committed massive balance sheet capacity (D/E to 257%) to international expansion before clear earnings contribution was proven — a genuine long-term capability bet [1]. The Q2 2026 guidance revision (GRLNF growth narrowed to 24-27% from 24-29%, citing $25M travel disruption and $20M FX impact) tests leadership's willingness to maintain the long-term vision through short-term headwinds [1]. However, this is one major bet rather than a sustained pattern of courageous decisions.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Shift4 is one of the fastest-growing payment processors globally, delivering Q2 2026 gross revenue of $1.3B (+34% YoY) with RLNF up 51% and international payments-based RLNF surging 53% as the Global Blue acquisition scales rapidly [1]. The company now processes over $240B in annual volume across 15+ countries with #1 global market share in tax-free shopping. Forward P/E of 8.17 and PEG of 0.49 are compelling for a 30%+ revenue compounder guiding to $1.15-1.18B adjusted EBITDA and $465-475M adjusted free cash flow in FY2026 [4]. At current levels, the stock prices in minimal growth despite demonstrated acceleration, creating significant re-rating potential if the company delivers on its international expansion targets.</w:t>
      </w:r>
    </w:p>
    <w:p>
      <w:pPr>
        <w:spacing w:after="120"/>
      </w:pPr>
      <w:r>
        <w:rPr>
          <w:rFonts w:ascii="Calibri" w:hAnsi="Calibri"/>
          <w:b w:val="0"/>
          <w:color w:val="3A4A28"/>
          <w:sz w:val="20"/>
        </w:rPr>
        <w:t>The bear case centers on execution risk and leverage. D/E of 257% ($4.58B total debt against $473M cash) from the Global Blue acquisition constrains balance sheet flexibility — a recession in hospitality or luxury travel could stress the debt load significantly [4]. GAAP profit margin is just 2.63% due to acquisition amortization and interest expense. The Q2 2026 guidance revision (GRLNF growth narrowed to 24-27% FX-neutral from 24-29%, citing $25M anticipated travel disruptions and $20M FX translation impacts) signals near-term macro vulnerability [1]. Founder Jared Isaacman's departure for NASA leaves CEO Taylor Lauber in his first full year, with governance concerns around board independence adding oversight risk [3]. The stock declined ~50% over 12 months (52-week range $34.56-$108.50), reflecting market skepticism about integration execution and take-rate sustainability against intense competition from Toast, Block, and Stripe.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Global Blue integration scaling international RLNF beyond 53% growth rate, with 80K+ merchants across 15 countries driving toward the $2.48-2.53B full-year GRLNF guidance and validating the $2B+ acquisition thesis [1]</w:t>
      </w:r>
    </w:p>
    <w:p>
      <w:pPr>
        <w:spacing w:before="40" w:after="40"/>
        <w:ind w:left="283"/>
      </w:pPr>
      <w:r>
        <w:rPr>
          <w:rFonts w:ascii="Calibri" w:hAnsi="Calibri"/>
          <w:b/>
          <w:color w:val="4A6B25"/>
          <w:sz w:val="20"/>
        </w:rPr>
        <w:t xml:space="preserve">2. </w:t>
      </w:r>
      <w:r>
        <w:rPr>
          <w:rFonts w:ascii="Calibri" w:hAnsi="Calibri"/>
          <w:b w:val="0"/>
          <w:color w:val="3A4A28"/>
          <w:sz w:val="20"/>
        </w:rPr>
        <w:t>Adjusted free cash flow of $465-475M enabling deleveraging from 257% D/E, with each turn of debt reduction unlocking meaningful equity value at the current depressed stock price [4]</w:t>
      </w:r>
    </w:p>
    <w:p>
      <w:pPr>
        <w:spacing w:before="40" w:after="40"/>
        <w:ind w:left="283"/>
      </w:pPr>
      <w:r>
        <w:rPr>
          <w:rFonts w:ascii="Calibri" w:hAnsi="Calibri"/>
          <w:b/>
          <w:color w:val="4A6B25"/>
          <w:sz w:val="20"/>
        </w:rPr>
        <w:t xml:space="preserve">3. </w:t>
      </w:r>
      <w:r>
        <w:rPr>
          <w:rFonts w:ascii="Calibri" w:hAnsi="Calibri"/>
          <w:b w:val="0"/>
          <w:color w:val="3A4A28"/>
          <w:sz w:val="20"/>
        </w:rPr>
        <w:t>Forward P/E of 8.17 and PEG of 0.49 create significant multiple expansion potential — re-rating to 15x forward earnings would imply more than 80% upside from current levels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 of 257% ($4.58B total debt against $473M cash) creates severe leverage risk in a hospitality or luxury travel downturn, with the Q2 guidance revision already flagging $25M in travel disruptions and $20M FX headwinds [1]</w:t>
      </w:r>
    </w:p>
    <w:p>
      <w:pPr>
        <w:spacing w:before="40" w:after="40"/>
        <w:ind w:left="283"/>
      </w:pPr>
      <w:r>
        <w:rPr>
          <w:rFonts w:ascii="Calibri" w:hAnsi="Calibri"/>
          <w:b/>
          <w:color w:val="4A6B25"/>
          <w:sz w:val="20"/>
        </w:rPr>
        <w:t xml:space="preserve">2. </w:t>
      </w:r>
      <w:r>
        <w:rPr>
          <w:rFonts w:ascii="Calibri" w:hAnsi="Calibri"/>
          <w:b w:val="0"/>
          <w:color w:val="3A4A28"/>
          <w:sz w:val="20"/>
        </w:rPr>
        <w:t>Founder Jared Isaacman's departure for NASA and governance concerns around board independence (committee chair not considered independent) leave oversight quality uncertain during a critical integration period [2][3]</w:t>
      </w:r>
    </w:p>
    <w:p>
      <w:pPr>
        <w:spacing w:before="40" w:after="40"/>
        <w:ind w:left="283"/>
      </w:pPr>
      <w:r>
        <w:rPr>
          <w:rFonts w:ascii="Calibri" w:hAnsi="Calibri"/>
          <w:b/>
          <w:color w:val="4A6B25"/>
          <w:sz w:val="20"/>
        </w:rPr>
        <w:t xml:space="preserve">3. </w:t>
      </w:r>
      <w:r>
        <w:rPr>
          <w:rFonts w:ascii="Calibri" w:hAnsi="Calibri"/>
          <w:b w:val="0"/>
          <w:color w:val="3A4A28"/>
          <w:sz w:val="20"/>
        </w:rPr>
        <w:t>Competitive pressure from Toast (restaurants), Block (SMB), and Stripe (e-commerce) compressing payment take rates, combined with high integration execution risk across 15 countries and 80K+ merchants simultaneously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Payment processing infrastructure is deeply protected from AI disruption — transaction rails, merchant acquiring, PCI compliance, settlement processes, and physical hardware deployment are regulated, physical-world operations that AI structurally cannot replace [2]. Shift4's integrated POS + payments ecosystem creates high switching costs, and hospitality/restaurant merchants require hands-on implementation that AI cannot substitute. The #1 position in tax-free shopping through Global Blue adds regulatory complexity (customs, VAT) that further insulates the business. However, AI could theoretically enable new entrants or reduce reliance on traditional POS interfaces, and competitive intensity from Toast, Block, and Stripe remains high regardless of AI [2]. AI Opportunity (1/1): Shift4 ships AI-powered capabilities through the xAI partnership for customer service and cart abandonment reduction, plus AI-driven tokenization for personalized payment experiences, representing early-stage but real AI integration into the platform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Shift4 Payments Q2 2026 Earnings — Gross Revenue $1.3B (+34%), RLNF +51%, International RLNF +53%, Volume $61B, Full-Year Guidance Revised to $2.48-2.53B GRLNF, August 2026</w:t>
      </w:r>
    </w:p>
    <w:p>
      <w:pPr>
        <w:spacing w:before="20" w:after="20"/>
        <w:ind w:left="170"/>
      </w:pPr>
      <w:r>
        <w:rPr>
          <w:rFonts w:ascii="Calibri" w:hAnsi="Calibri"/>
          <w:b/>
          <w:color w:val="4A6B25"/>
          <w:sz w:val="15"/>
        </w:rPr>
        <w:t xml:space="preserve">2. </w:t>
      </w:r>
      <w:r>
        <w:rPr>
          <w:rFonts w:ascii="Calibri" w:hAnsi="Calibri"/>
          <w:b w:val="0"/>
          <w:color w:val="3A4A28"/>
          <w:sz w:val="17"/>
        </w:rPr>
        <w:t>Shift4 Leadership and AI Strategy — CEO Taylor Lauber, xAI Partnership, CPO Timothy Goodwin, President International Nervini, FintechFutures/PaymentsDive, 2026</w:t>
      </w:r>
    </w:p>
    <w:p>
      <w:pPr>
        <w:spacing w:before="20" w:after="20"/>
        <w:ind w:left="170"/>
      </w:pPr>
      <w:r>
        <w:rPr>
          <w:rFonts w:ascii="Calibri" w:hAnsi="Calibri"/>
          <w:b/>
          <w:color w:val="4A6B25"/>
          <w:sz w:val="15"/>
        </w:rPr>
        <w:t xml:space="preserve">3. </w:t>
      </w:r>
      <w:r>
        <w:rPr>
          <w:rFonts w:ascii="Calibri" w:hAnsi="Calibri"/>
          <w:b w:val="0"/>
          <w:color w:val="3A4A28"/>
          <w:sz w:val="17"/>
        </w:rPr>
        <w:t>Shift4 ESG and Governance — Board Independence Concerns (Glass Lewis), Shift4Cares Program, SEC 10-K Filings,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StockAnalysis — FOUR Key Statistics: Forward P/E 8.17, PEG 0.49, D/E 257%, ROE 9.94%,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