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w:t>
      </w:r>
      <w:r>
        <w:rPr>
          <w:rFonts w:ascii="Calibri" w:hAnsi="Calibri"/>
          <w:b/>
          <w:color w:val="1A2010"/>
          <w:sz w:val="40"/>
        </w:rPr>
        <w:t xml:space="preserve">  First Industrial Realty Trust, Inc.</w:t>
      </w:r>
    </w:p>
    <w:p>
      <w:pPr>
        <w:spacing w:after="120"/>
      </w:pPr>
      <w:r>
        <w:rPr>
          <w:rFonts w:ascii="Calibri" w:hAnsi="Calibri"/>
          <w:b/>
          <w:color w:val="6E8450"/>
          <w:sz w:val="18"/>
        </w:rPr>
        <w:t>DIVIDEND SLEEVE · 2026-09-28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NYSE · United States</w:t>
      </w:r>
    </w:p>
    <w:p>
      <w:pPr>
        <w:spacing w:after="80"/>
      </w:pPr>
      <w:r>
        <w:rPr>
          <w:rFonts w:ascii="Calibri" w:hAnsi="Calibri"/>
          <w:b w:val="0"/>
          <w:color w:val="3A4A28"/>
          <w:sz w:val="20"/>
        </w:rPr>
        <w:t>First Industrial Realty Trust is a U.S.-only owner, operator, developer, and acquirer of logistics properties concentrated in 15 target MSAs. The company owns and has under development approximately 72.1 million square feet of industrial space serving multinational corporations and regional firms for supply chain operations. Established in 1993 and headquartered in Chicago, FR delivered FY2025 FFO of $2.96/share (+11.7% YoY) and guided 2026 FFO of $3.08-$3.16/share. Q2 2026 lease revenue was $193.9M vs $177.5M in Q2 2025. Market cap is approximately $8.4B.</w:t>
      </w:r>
    </w:p>
    <w:p>
      <w:r>
        <w:rPr>
          <w:rFonts w:ascii="Calibri" w:hAnsi="Calibri"/>
          <w:b/>
          <w:color w:val="6E8450"/>
          <w:sz w:val="18"/>
        </w:rPr>
        <w:t>151 Employees · https://www.firstindustrial.com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 Industrial has refined its strategy over the last five years by concentrating its 72.1M sq ft portfolio in 15 target MSAs and exiting non-core markets, a disciplined geographic focus that has improved portfolio quality [1]. However, the core business — owning, operating, and developing industrial logistics properties — is fundamentally unchanged from five years ago. No transformative new products or business model innovations have been introduced. AI Deployment (0/2): No evidence of AI-powered products, services, or quantified AI-driven operational improvements was identified. The company operates physical real estate assets with traditional property management. Market Share (1/2): FR is a meaningful player in the U.S. industrial REIT space with 72.1M sq ft across 15 target MSAs, but is significantly smaller than category leader Prologis (~1.2B sq ft globally) and competes with Duke Realty (acquired by Prologis), Rexford, and others [1]. Product Pipeline (0/2): Active development pipeline of logistics properties in target MSAs, but real estate development is standard REIT operations, not a differentiated product pipeline with specific timelines and revenue visibility. R&amp;D Intensity (0/1): REITs do not conduct traditional R&amp;D. Innovation occurs through site selection, building design, and tenant relationship management.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First Industrial's stated purpose — being 'a leading U.S.-only owner, operator, developer and acquirer of logistics properties' providing 'high quality facilities and industry-leading customer service' — is generic and interchangeable with any industrial REIT peer [1]. The mission describes what the company does, not why it exists beyond generating returns. Community Impact (1/2): The company has established a Corporate Responsibility Committee advising the Board on sustainability, social responsibility, and non-financial issues [3]. Tenant engagement programs encourage environmentally sustainable practices (energy/water efficiency, recycling). However, no specific charitable programs, foundation, or community investment with dollar amounts were identified. Employee Retention (0/2): With only 151 full-time employees, FR is a lean organization. No specific retention, tenure, or turnover data is publicly available. Leadership transitions (Central Region planned retirement with internal promotion) suggest organizational stability. Insider Buying (0/2): No evidence of meaningful net insider buying by CEO Peter Baccile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Dividend framework. D/E of 90.1% scores 0.91 against the 70% target — slightly elevated but typical for a well-managed REIT [4]. ROE of 13.63% scores 0.91 against the 15% target. Revenue growth YoY of 8.4% scores 0.95 against the 10% target, reflecting steady lease revenue growth (Q2 2026 lease revenue $193.9M vs $177.5M in Q2 2025) [1]. Forward P/E of 32.45x scores 0.69 — high relative to the 20x target but typical for REITs where P/FFO is the standard valuation metric. Profit margin of 47.92% scores perfectly at well above the 20% target, reflecting the high-margin nature of REIT rental income. Payout ratio of 68.73% scores 0.52 against the 40% target — expected for a REIT required to distribute 90% of taxable income. Consecutive years paid (~33 years since 1993) and consecutive years of dividend growth (~12+ years) both score perfectly with weighted contributions. Estimated 5-year revenue CAGR of ~8.7% and 5-year dividend growth CAGR of ~10% complete the strong dividend profile. Liquidity clears easily at $64.9M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First Industrial Realty Trust operates with a finite-game orientation typical of REITs. The company exists to own and develop logistics properties for shareholder returns — a legitimate and well-executed business purpose, but not a Just Cause in Sinek's framework. Peter Baccile has provided steady leadership since 2016 with consistent FFO growth, but the competitive strategy focuses on MSA-level market share and development returns rather than a vision of a better future. The lean 151-employee organization lacks the depth for the trust-building and cultural differentiation that characterize infinite-game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First Industrial does not articulate a Just Cause. The company's purpose — owning, operating, and developing logistics properties — describes a business activity, not a vision of a future state that people would sacrifice to advance [1]. Strategic decisions are driven by FFO growth, occupancy rates, and development yields, not by a higher purpose. There is no evidence that the company's existence serves a cause beyond generating returns for shareholders.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151 employees, First Industrial operates as a lean, specialized organization. The planned retirement and internal promotion for the Central Region leadership role suggests organizational stability and succession planning [2]. CEO Peter Baccile has led since 2016, providing leadership continuity. No evidence of cultural dysfunction, layoffs, or employee unrest. However, the small team size limits the available evidence for exceptional trust or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First Industrial competes against Prologis, Rexford Industrial, and other industrial REITs for properties and tenants. No evidence was found of management acknowledging competitors' strengths or using competitive pressure for self-improvement. The competitive language focuses on MSA selection, development yields, and occupancy rates — standard real estate metrics rather than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First Industrial has focused exclusively on industrial logistics properties since its founding in 1993. The strategic refinement to concentrate in 15 target MSAs is disciplined portfolio management, not transformative reinvention [1]. The company has not pivoted its business model, entered new property types, or made strategic shifts that would qualify as existential flexibility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First Industrial maintained its development pipeline and investment activity through the 2022-2024 real estate downturn and rising interest rate environment, continuing to develop properties when many peers pulled back [1]. CEO Baccile's strategic focus on U.S.-only operations and 15 target MSAs represents disciplined capital allocation that sacrificed breadth for quality. However, no evidence of truly transformative long-term bets that sacrificed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Industrial Realty Trust at a 3.27% dividend yield and Forward P/FFO of approximately 19x (P/E distorted by REIT depreciation accounting) offers a solid combination of income and growth in U.S. logistics real estate. FY2025 FFO of $2.96/share (+11.7% YoY) demonstrates consistent execution, and 2026 guidance of $3.08-$3.16/share implies continued mid-single-digit FFO growth [1]. The 72.1M sq ft portfolio concentrated in 15 high-barrier-to-entry U.S. MSAs benefits from secular tailwinds including e-commerce fulfillment demand, supply chain reshoring, and AI data center buildout. The 68.73% payout ratio provides dividend coverage with room for continued growth. AI disruption risk is negligible as physical logistics infrastructure sees increased demand from technology-driven economic activity.</w:t>
      </w:r>
    </w:p>
    <w:p>
      <w:pPr>
        <w:spacing w:after="120"/>
      </w:pPr>
      <w:r>
        <w:rPr>
          <w:rFonts w:ascii="Calibri" w:hAnsi="Calibri"/>
          <w:b w:val="0"/>
          <w:color w:val="3A4A28"/>
          <w:sz w:val="20"/>
        </w:rPr>
        <w:t>The primary risk is interest rate sensitivity — as a leveraged REIT with D/E of 90.1%, FR's cost of capital and property valuations are directly impacted by interest rate movements, and the Forward P/E of 32.45x (inflated by REIT depreciation accounting) makes the stock appear expensive on traditional metrics [4]. Revenue growth YoY of 8.4% and ROE of 13.63% are solid but not exceptional, suggesting FR is a steady compounder rather than a high-growth opportunity. The U.S.-only strategy provides geographic focus but limits diversification if domestic industrial demand weakens. Competition from Prologis (which is 15x larger by sq ft) could pressure rents and occupancy in target MSAs. The lean 151-employee structure, while efficient, limits the organizational depth for scaling operations significantly. IOWN's framework penalizes FR on Innovation, Inspiration, and Infinite Game — appropriate for a REIT that prioritizes operational efficiency over transformative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E-commerce and supply chain reshoring driving sustained demand for U.S. logistics space — FR's 15-MSA concentration in high-barrier markets positions it to benefit from both trends as nearshoring and last-mile delivery networks expand [1]</w:t>
      </w:r>
    </w:p>
    <w:p>
      <w:pPr>
        <w:spacing w:before="40" w:after="40"/>
        <w:ind w:left="283"/>
      </w:pPr>
      <w:r>
        <w:rPr>
          <w:rFonts w:ascii="Calibri" w:hAnsi="Calibri"/>
          <w:b/>
          <w:color w:val="4A6B25"/>
          <w:sz w:val="20"/>
        </w:rPr>
        <w:t xml:space="preserve">2. </w:t>
      </w:r>
      <w:r>
        <w:rPr>
          <w:rFonts w:ascii="Calibri" w:hAnsi="Calibri"/>
          <w:b w:val="0"/>
          <w:color w:val="3A4A28"/>
          <w:sz w:val="20"/>
        </w:rPr>
        <w:t>FFO growth trajectory of $2.96 (FY2025) to $3.08-$3.16 (FY2026 guidance) at the midpoint represents ~6% growth with visibility into continued lease revenue increases (Q2 2026 lease revenue up 9.2% YoY to $193.9M) [1]</w:t>
      </w:r>
    </w:p>
    <w:p>
      <w:pPr>
        <w:spacing w:before="40" w:after="40"/>
        <w:ind w:left="283"/>
      </w:pPr>
      <w:r>
        <w:rPr>
          <w:rFonts w:ascii="Calibri" w:hAnsi="Calibri"/>
          <w:b/>
          <w:color w:val="4A6B25"/>
          <w:sz w:val="20"/>
        </w:rPr>
        <w:t xml:space="preserve">3. </w:t>
      </w:r>
      <w:r>
        <w:rPr>
          <w:rFonts w:ascii="Calibri" w:hAnsi="Calibri"/>
          <w:b w:val="0"/>
          <w:color w:val="3A4A28"/>
          <w:sz w:val="20"/>
        </w:rPr>
        <w:t>Development pipeline in target MSAs provides organic growth opportunity at attractive development yields, with 72.1M sq ft portfolio scale creating tenant relationship advantages for build-to-suit projects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sensitivity as a leveraged REIT with D/E of 90.1% — rising rates increase cost of capital, compress property valuations, and make the 3.27% dividend yield less attractive relative to risk-free alternatives [4]</w:t>
      </w:r>
    </w:p>
    <w:p>
      <w:pPr>
        <w:spacing w:before="40" w:after="40"/>
        <w:ind w:left="283"/>
      </w:pPr>
      <w:r>
        <w:rPr>
          <w:rFonts w:ascii="Calibri" w:hAnsi="Calibri"/>
          <w:b/>
          <w:color w:val="4A6B25"/>
          <w:sz w:val="20"/>
        </w:rPr>
        <w:t xml:space="preserve">2. </w:t>
      </w:r>
      <w:r>
        <w:rPr>
          <w:rFonts w:ascii="Calibri" w:hAnsi="Calibri"/>
          <w:b w:val="0"/>
          <w:color w:val="3A4A28"/>
          <w:sz w:val="20"/>
        </w:rPr>
        <w:t>Slowing industrial leasing activity — after years of strong demand, national industrial vacancy rates are normalizing, and speculative development across the sector could pressure rents in FR's target MSAs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Prologis (15x larger by sq ft) and other industrial REITs with greater scale, lower cost of capital, and broader geographic reach could limit FR's ability to win tenants and development opportunities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Industrial logistics properties are structurally immune to AI disruption — physical warehouses, distribution centers, and logistics facilities cannot be replaced by software [1]. AI and e-commerce growth actually INCREASE demand for logistics space as online retailers require fulfillment infrastructure, and AI data center expansion drives demand for supporting facilities. First Industrial's properties serve as essential physical infrastructure for supply chains that AI optimizes but cannot eliminate. No analysts have flagged AI as a threat to industrial REITs; the sector benefits from secular tailwinds of e-commerce growth and supply chain reshoring. AI Opportunity (0/1): First Industrial does not generate revenue from AI-related products or services. AI may be used internally for property management analytics, but no quantified AI revenue contribution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Industrial Realty Trust FY2025 and Q1-Q2 2026 Results — FFO $2.96/share (+11.7%), 2026 guidance $3.08-$3.16, Q2 2026 lease revenue $193.9M, investor.firstindustrial.com, 2026</w:t>
      </w:r>
    </w:p>
    <w:p>
      <w:pPr>
        <w:spacing w:before="20" w:after="20"/>
        <w:ind w:left="170"/>
      </w:pPr>
      <w:r>
        <w:rPr>
          <w:rFonts w:ascii="Calibri" w:hAnsi="Calibri"/>
          <w:b/>
          <w:color w:val="4A6B25"/>
          <w:sz w:val="15"/>
        </w:rPr>
        <w:t xml:space="preserve">2. </w:t>
      </w:r>
      <w:r>
        <w:rPr>
          <w:rFonts w:ascii="Calibri" w:hAnsi="Calibri"/>
          <w:b w:val="0"/>
          <w:color w:val="3A4A28"/>
          <w:sz w:val="17"/>
        </w:rPr>
        <w:t>First Industrial Realty Trust Leadership — CEO Peter Baccile (since 2016), team overview, internal promotions, firstindustrial.com/team,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First Industrial Realty Trust ESG and Corporate Responsibility — Sustainability committee, tenant engagement, environmental initiatives, Sustainalytics rating, responsibilityreports.com,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FR key statistics: Forward P/E 32.45x, ROE 13.63%, D/E 90.1%, dividend yield 3.27%, stock price $61.17,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