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FSLR</w:t>
      </w:r>
      <w:r>
        <w:rPr>
          <w:rFonts w:ascii="Calibri" w:hAnsi="Calibri"/>
          <w:b/>
          <w:color w:val="1A2010"/>
          <w:sz w:val="40"/>
        </w:rPr>
        <w:t xml:space="preserve">  First Solar, Inc.</w:t>
      </w:r>
    </w:p>
    <w:p>
      <w:pPr>
        <w:spacing w:after="120"/>
      </w:pPr>
      <w:r>
        <w:rPr>
          <w:rFonts w:ascii="Calibri" w:hAnsi="Calibri"/>
          <w:b/>
          <w:color w:val="6E8450"/>
          <w:sz w:val="18"/>
        </w:rPr>
        <w:t>GROWTH SLEEVE · 2026-09-08 · Inspire: 59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United States</w:t>
      </w:r>
    </w:p>
    <w:p>
      <w:pPr>
        <w:spacing w:after="80"/>
      </w:pPr>
      <w:r>
        <w:rPr>
          <w:rFonts w:ascii="Calibri" w:hAnsi="Calibri"/>
          <w:b w:val="0"/>
          <w:color w:val="3A4A28"/>
          <w:sz w:val="20"/>
        </w:rPr>
        <w:t>First Solar is the leading American manufacturer of photovoltaic solar modules using proprietary cadmium telluride (CdTe) thin-film semiconductor technology. The company designs, manufactures, and sells solar modules to developers, system integrators, and utilities globally. First Solar operates the largest solar manufacturing and R&amp;D footprint in the Western Hemisphere, with three fully vertically integrated facilities in Ohio, one in Alabama, and a new $1.1B AI-enabled facility in Louisiana. Q1 2026 delivered record revenue of $1.04B (+24% YoY) with 47% gross margin and Q2 followed with $1.06B revenue, 57% gross margin, and $423M net profit. Full-year 2026 guidance: $4.9-5.2B revenue, $2.6-2.8B adjusted EBITDA. Contracted backlog of 47.9 GW at $14.4B through 2030. Market cap approximately $20B+.</w:t>
      </w:r>
    </w:p>
    <w:p>
      <w:r>
        <w:rPr>
          <w:rFonts w:ascii="Calibri" w:hAnsi="Calibri"/>
          <w:b/>
          <w:color w:val="6E8450"/>
          <w:sz w:val="18"/>
        </w:rPr>
        <w:t>7,900 Employees · https://www.firstsolar.com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First Solar has consistently advanced its CadTe thin-film technology through multiple product generations (Series 4, 6, 7), opened a $1.1B AI-enabled manufacturing facility in Louisiana, and invested $4.5B in US manufacturing and R&amp;D since 2019 [1][3]. The pivot from utility-scale EPC to pure-play module manufacturer was a significant business model transformation. AI Deployment (1/2): The Louisiana facility uses computer vision and deep learning for automated defect detection, with operators leveraging AI-powered tools for real-time production adjustments and decision-making, generating measurable manufacturing efficiency improvements [3]. Market Share (2/2): First Solar is the dominant US-based solar module manufacturer and the largest solar manufacturer in the Western Hemisphere. Its American-made, non-Chinese supply chain provides a structural competitive advantage under IRA incentives and tariff protections, with modules carrying the lowest carbon and water footprint of any commercially available PV technology [3]. Product Pipeline (2/2): Tandem Cell technology layering CdTe with Perovskite is targeting 25%+ efficiency breakthrough with commercial release planned for 2027-2028, a specific next-generation product with clear timeline [3]. CuRe (Copper Replacement) technology improves long-term stability. Series 7 bifacial modules increase energy yield by up to 15%. R&amp;D Intensity (1/1): R&amp;D centers in Ohio and California, with $4.5B total invested in manufacturing and R&amp;D since 2019, demonstrating top-quartile commitment to technology advancement in the solar industry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First Solar's purpose of advancing 'Responsible Solar' — sustainability, zero tolerance for human rights abuses, and meaningfully supporting the fight against climate change — is specific, thoughtful, and has shaped strategic decisions consistently [3]. CEO Mark Widmar positions solar as essential to 'America's AI dominance' and energy independence, connecting the company's work to national-scale purpose. The $4.5B US manufacturing bet was made before IRA incentives existed, demonstrating purpose-driven strategy. However, the mission hasn't been tested through the kind of multi-decade, multi-crisis consistency that earns a 4. Community Impact (1/2): First Solar's $4.5B investment in US manufacturing creates over 5,500 American jobs across Ohio, Alabama, and Louisiana, with the company also being the world's largest high-value solar panel recycler [3]. This represents genuine community development in manufacturing-dependent regions. Employee Retention (0/2): No specific retention, tenure, or voluntary turnover data was identified to support scoring.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First Solar achieves a perfect 10 across all available Growth stock metrics. The balance sheet is fortress-grade: D/E of just 6% scores 1.0, among the strongest in any sector [4]. ROE of 18.44% exceeds the 15% target (scores 1.0 at 2x weight), profit margin of 30.73% scores 1.0 (Q2 2026 hit 40%, expanding further) [1][4]. Revenue growth YoY of 24% (Q1) with full-year guidance of $4.9-5.2B far exceeds the 10% target, and 5-year CAGR of approximately 14% also scores 1.0 at 2x weight. Forward P/E of 8.88 is deeply attractive at less than half the 20x target [4]. PEG of 0.67 scores 1.0 at 2x weight, reflecting the market dramatically under-pricing growth. Every metric maxes at 1.0, producing a perfect infrastructure score. Liquidity floor easily passed: ~1.9M shares x ~$190 = $361M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First Solar demonstrates meaningful infinite game characteristics under CEO Mark Widmar. The company invested $4.5B in US manufacturing when offshoring to China was the industry default, bet on differentiated CdTe thin-film technology when nearly all competitors chose crystalline silicon, and built domestic capacity years before IRA incentives or tariff protections validated the strategy. The 'Responsible Solar' mission has shaped capital allocation and competitive positioning consistently. Sinek would recognize the pattern of long-term capability investments driven by conviction, while noting the company has operated within solar throughout its history without a truly transformative cross-industry pivot.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First Solar's purpose of advancing clean energy through responsible, American-made solar manufacturing is genuine, distinctive, and has shaped strategic decisions consistently [3]. The $4.5B US investment bet was made years before IRA incentives existed, showing purpose-driven rather than opportunistic strategy. 'Responsible Solar' — emphasizing lowest carbon footprint, zero tolerance for human rights abuses, and high-value recycling — connects the company's work to fighting climate change. However, the cause hasn't been tested through the kind of multi-decade, multi-crisis validation Sinek requires for a perfect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First Solar describes a culture built on 'innovative and passionate people, working ethically and safely' with emphasis on agility, collaboration, and accountability [3]. The growing workforce (targeting 5,500+ US employees by end of 2026) and investment in training at new facilities signal organizational health. CEO Widmar's tenure provides leadership continuity. However, no specific retention data, tenure metrics, or employee-reported trust indicators were identified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First Solar competes against Chinese solar manufacturers with vastly lower production costs and has used this competitive pressure to drive technological differentiation (CdTe vs. silicon), manufacturing efficiency, and US policy advocacy rather than engaging in a destructive price war [3]. The company's investment in Tandem Cell technology (CdTe + Perovskite for 25%+ efficiency) is directly motivated by the need to maintain competitiveness against improving silicon competitors, demonstrating an infinite competitive mindset focused on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First Solar made a significant strategic pivot from being a utility-scale EPC (engineering, procurement, construction) company to a pure-play module manufacturer, exiting the project development business to focus on core technology [1]. This was a meaningful business model shift driven by strategic clarity. The bet on Tandem Cell technology represents another forward-looking adaptation. However, the company has operated within solar technology throughout its history without a truly transformative cross-industry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First Solar demonstrates a pattern of courageous long-term investment. The company invested $4.5B in US manufacturing capacity when most competitors offshored to China for lower costs, bet on differentiated CdTe thin-film technology when the entire industry converged on crystalline silicon, and continued expanding domestic capacity during periods of policy uncertainty [1][3]. The $1.1B Louisiana facility was committed before the IRA was signed. These bets required accepting higher near-term costs for long-term strategic advantage, and market conditions subsequently validated the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Solar is executing at an elite level: Q1 2026 delivered record revenue of $1.04B (+24% YoY) with 47% gross margin, followed by Q2 at $1.06B revenue with gross margin expanding to 57% and net profit of $423M [1]. The balance sheet is fortress-grade: 6% D/E, $2.4B+ cash, and 30.73% profit margins that rival software companies despite being a manufacturer [4]. Forward P/E of 8.88 and PEG of 0.67 dramatically under-price a company growing revenue at 24% with world-class profitability and multi-year backlog visibility (47.9 GW contracted at $14.4B through 2030). The AI data center buildout creates a structural demand tailwind, with CEO Widmar positioning First Solar as essential infrastructure for America's AI dominance [3]. Tandem Cell technology (CdTe + Perovskite) targeting 25%+ efficiency for 2027-2028 provides a clear next-generation innovation pipeline.</w:t>
      </w:r>
    </w:p>
    <w:p>
      <w:pPr>
        <w:spacing w:after="120"/>
      </w:pPr>
      <w:r>
        <w:rPr>
          <w:rFonts w:ascii="Calibri" w:hAnsi="Calibri"/>
          <w:b w:val="0"/>
          <w:color w:val="3A4A28"/>
          <w:sz w:val="20"/>
        </w:rPr>
        <w:t>The primary risk is policy dependence: First Solar's domestic manufacturing premium is significantly supported by IRA Section 45X advanced manufacturing production credits, and any legislative modification or repeal would materially impact profitability [1]. Section 45X credits are set to decline after 2029, making current peak margins potentially unsustainable long-term. Chinese solar manufacturers continue to expand capacity aggressively, maintaining 80%+ global market share with dramatically lower production costs — First Solar's CdTe technology represents less than 5% of global module production, making it a niche player dependent on trade protection [3]. Q2 2026 net sales were actually down 4% YoY due to customer contract terminations, introducing execution risk beneath the headline growth story. The stock has exhibited extreme volatility driven by political sentiment around clean energy policy and tariff uncertainty. The Inspire score of 59 (ALIGNED) supports faith-based allocation, but the policy concentration risk is the fundamental bear case for this otherwise exceptional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massive electricity demand growth, with solar as the lowest-cost generation source in most US markets, creating a structural multi-year demand tailwind — 47.9 GW contracted through 2030 at $14.4B provides exceptional revenue visibility [1][3]</w:t>
      </w:r>
    </w:p>
    <w:p>
      <w:pPr>
        <w:spacing w:before="40" w:after="40"/>
        <w:ind w:left="283"/>
      </w:pPr>
      <w:r>
        <w:rPr>
          <w:rFonts w:ascii="Calibri" w:hAnsi="Calibri"/>
          <w:b/>
          <w:color w:val="4A6B25"/>
          <w:sz w:val="20"/>
        </w:rPr>
        <w:t xml:space="preserve">2. </w:t>
      </w:r>
      <w:r>
        <w:rPr>
          <w:rFonts w:ascii="Calibri" w:hAnsi="Calibri"/>
          <w:b w:val="0"/>
          <w:color w:val="3A4A28"/>
          <w:sz w:val="20"/>
        </w:rPr>
        <w:t>Tandem Cell technology (CdTe + Perovskite) targeting 25%+ efficiency breakthrough with 2027-2028 commercial release, potentially widening First Solar's technology differentiation against crystalline silicon competitors [3]</w:t>
      </w:r>
    </w:p>
    <w:p>
      <w:pPr>
        <w:spacing w:before="40" w:after="40"/>
        <w:ind w:left="283"/>
      </w:pPr>
      <w:r>
        <w:rPr>
          <w:rFonts w:ascii="Calibri" w:hAnsi="Calibri"/>
          <w:b/>
          <w:color w:val="4A6B25"/>
          <w:sz w:val="20"/>
        </w:rPr>
        <w:t xml:space="preserve">3. </w:t>
      </w:r>
      <w:r>
        <w:rPr>
          <w:rFonts w:ascii="Calibri" w:hAnsi="Calibri"/>
          <w:b w:val="0"/>
          <w:color w:val="3A4A28"/>
          <w:sz w:val="20"/>
        </w:rPr>
        <w:t>Full ramp-up of the $1.1B AI-enabled Louisiana manufacturing facility adding significant production capacity with AI-optimized processes, while Q2 2026 gross margin of 57% suggests continued margin expansion above the 47% guidance midpoint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Legislative modification or repeal of IRA Section 45X advanced manufacturing production credits would materially reduce profitability — credits are set to decline after 2029, making current peak margins potentially unsustainable without policy extension [1]</w:t>
      </w:r>
    </w:p>
    <w:p>
      <w:pPr>
        <w:spacing w:before="40" w:after="40"/>
        <w:ind w:left="283"/>
      </w:pPr>
      <w:r>
        <w:rPr>
          <w:rFonts w:ascii="Calibri" w:hAnsi="Calibri"/>
          <w:b/>
          <w:color w:val="4A6B25"/>
          <w:sz w:val="20"/>
        </w:rPr>
        <w:t xml:space="preserve">2. </w:t>
      </w:r>
      <w:r>
        <w:rPr>
          <w:rFonts w:ascii="Calibri" w:hAnsi="Calibri"/>
          <w:b w:val="0"/>
          <w:color w:val="3A4A28"/>
          <w:sz w:val="20"/>
        </w:rPr>
        <w:t>Chinese solar manufacturers with 80%+ global market share and dramatically lower production costs continue aggressive capacity expansion; First Solar's CdTe technology is &lt;5% of global production, making it a niche player dependent on trade protection [3]</w:t>
      </w:r>
    </w:p>
    <w:p>
      <w:pPr>
        <w:spacing w:before="40" w:after="40"/>
        <w:ind w:left="283"/>
      </w:pPr>
      <w:r>
        <w:rPr>
          <w:rFonts w:ascii="Calibri" w:hAnsi="Calibri"/>
          <w:b/>
          <w:color w:val="4A6B25"/>
          <w:sz w:val="20"/>
        </w:rPr>
        <w:t xml:space="preserve">3. </w:t>
      </w:r>
      <w:r>
        <w:rPr>
          <w:rFonts w:ascii="Calibri" w:hAnsi="Calibri"/>
          <w:b w:val="0"/>
          <w:color w:val="3A4A28"/>
          <w:sz w:val="20"/>
        </w:rPr>
        <w:t>Q2 2026 net sales declined 4% YoY due to customer contract terminations, and full-year revenue guidance of $4.9-5.2B implies potential deceleration from the 24% Q1 growth rate, introducing execution risk beneath headline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First Solar's core business of manufacturing physical solar modules using proprietary CdTe thin-film technology is structurally immune to AI disruption. Solar panel manufacturing requires specialized semiconductor fabrication, chemical processing, and precision engineering that AI cannot substitute [1][3]. Moreover, AI is a direct demand driver: the massive buildout of AI data centers requires enormous amounts of electricity, and solar is the lowest-cost clean generation source in most US markets. CEO Widmar explicitly positions First Solar as 'part of America's AI dominance solution,' framing the company as essential infrastructure powering AI growth [3]. No analyst has flagged AI as a substitution risk for solar manufacturing. AI Opportunity (1/1): First Solar's Louisiana facility is AI-enabled, using computer vision and deep learning for defect detection and production optimization, generating measurable efficiency gains [3]. The AI data center power demand thesis directly drives module sales growth — each new hyperscaler facility needs megawatts of solar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Solar Q1 and Q2 2026 Earnings Releases — Q1: Record Revenue $1.04B (+24%), Gross Margin 47%, EPS $3.22; Q2: Revenue $1.06B, Gross Margin 57%, Net Profit $423M; FY2026 Guidance $4.9-5.2B Revenue, $2.6-2.8B EBITDA, 2026</w:t>
      </w:r>
    </w:p>
    <w:p>
      <w:pPr>
        <w:spacing w:before="20" w:after="20"/>
        <w:ind w:left="170"/>
      </w:pPr>
      <w:r>
        <w:rPr>
          <w:rFonts w:ascii="Calibri" w:hAnsi="Calibri"/>
          <w:b/>
          <w:color w:val="4A6B25"/>
          <w:sz w:val="15"/>
        </w:rPr>
        <w:t xml:space="preserve">2. </w:t>
      </w:r>
      <w:r>
        <w:rPr>
          <w:rFonts w:ascii="Calibri" w:hAnsi="Calibri"/>
          <w:b w:val="0"/>
          <w:color w:val="3A4A28"/>
          <w:sz w:val="17"/>
        </w:rPr>
        <w:t>First Solar Revenue and Financial History — MacroTrends/StockAnalysis, 5yr CAGR ~14%,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First Solar Corporate Strategy — CEO Widmar on AI and Solar, Tandem Cell/Perovskite Technology (2027-2028), Louisiana AI-Enabled Facility, 'Responsible Solar' Mission, Seeking Alpha/CNBC/Fox Business, 2026</w:t>
      </w:r>
    </w:p>
    <w:p>
      <w:pPr>
        <w:spacing w:before="20" w:after="20"/>
        <w:ind w:left="170"/>
      </w:pPr>
      <w:r>
        <w:rPr>
          <w:rFonts w:ascii="Calibri" w:hAnsi="Calibri"/>
          <w:b/>
          <w:color w:val="4A6B25"/>
          <w:sz w:val="15"/>
        </w:rPr>
        <w:t xml:space="preserve">4. </w:t>
      </w:r>
      <w:r>
        <w:rPr>
          <w:rFonts w:ascii="Calibri" w:hAnsi="Calibri"/>
          <w:b w:val="0"/>
          <w:color w:val="3A4A28"/>
          <w:sz w:val="17"/>
        </w:rPr>
        <w:t>StockAnalysis/GuruFocus — FSLR Key Statistics: Forward P/E 8.88, PEG 0.67, D/E 6%, ROE 18.44%, Profit Margin 30.73%,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FSLR Quote and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