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FSM</w:t>
      </w:r>
      <w:r>
        <w:rPr>
          <w:rFonts w:ascii="Calibri" w:hAnsi="Calibri"/>
          <w:b/>
          <w:color w:val="1A2010"/>
          <w:sz w:val="40"/>
        </w:rPr>
        <w:t xml:space="preserve">  Fortuna Mining Corp.</w:t>
      </w:r>
    </w:p>
    <w:p>
      <w:pPr>
        <w:spacing w:after="120"/>
      </w:pPr>
      <w:r>
        <w:rPr>
          <w:rFonts w:ascii="Calibri" w:hAnsi="Calibri"/>
          <w:b/>
          <w:color w:val="6E8450"/>
          <w:sz w:val="18"/>
        </w:rPr>
        <w:t>GROWTH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Fortuna Mining Corp. (formerly Fortuna Silver Mines) is a Canadian precious metals producer operating mines across Latin America and West Africa, producing gold and silver. The company reported record Q1 2026 revenue of $342.5M (+76% YoY) driven by elevated gold prices and strong operational execution at the Seguela Mine in Cote d'Ivoire. FY2025 revenue reached $947M (+40% YoY) with net income of $287M (+123%). Co-founder and CEO Jorge Ganoza has led the company since 2004, targeting 500,000 oz gold equivalent production by H2 2028. Market cap approximately $3.0B at $10.17/share.</w:t>
      </w:r>
    </w:p>
    <w:p>
      <w:r>
        <w:rPr>
          <w:rFonts w:ascii="Calibri" w:hAnsi="Calibri"/>
          <w:b/>
          <w:color w:val="6E8450"/>
          <w:sz w:val="18"/>
        </w:rPr>
        <w:t>4,960 Employees · https://fortunamining.com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Fortuna successfully transformed from a single-mine Latin American silver producer into a multi-continent gold-dominant miner through the 2021 Roxgold acquisition, which added the high-grade Seguela Mine in Cote d'Ivoire [1]. Revenue grew from approximately $300M in 2020 to $947M in FY2025, reflecting successful M&amp;A integration and operational execution. The rebranding from Fortuna Silver Mines to Fortuna Mining Corp. crystallizes this strategic evolution. AI Deployment (0/2): No evidence of meaningful AI deployment in mining operations, exploration targeting, or corporate processes. Fortuna has not disclosed specific AI initiatives in geological analysis, predictive maintenance, or autonomous operations. Market Share (1/2): Fortuna is a mid-tier precious metals producer with approximately 450,000 gold equivalent ounces in 2025, positioning it among the top 20-30 gold producers globally [4]. Not dominant in any single geography but establishing a diversified multi-jurisdictional presence across five countries. Pipeline (2/2): The Diamba Sud project in Senegal and Seguela mine expansion plan target a 60% production increase to 500,000 oz gold equivalent by H2 2028, providing specific named projects with clear timelines and revenue visibility [1]. Exploration programs across West Africa and Latin America add optionality. R&amp;D Intensity (1/1): Exploration expenditures are substantial relative to the company's size, with active brownfield and greenfield programs across all operating jurisdictions.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Fortuna's purpose centers on responsible precious metals mining — legitimate but not strongly mission-driven in the IOWN framework. The company positions sustainability as a core pillar but the fundamental business is resource extraction for commodity markets, lacking the 'beyond profit' dimension that defines strong missions [5]. Community Impact (1/2): Fortuna was named among Corporate Knights' Global 100 Most Sustainable Corporations (2018), publishes annual sustainability reports, and 30% of executive short-term incentive compensation is tied to ESG performance [3]. All operations are ISO 14001 (environmental) and ISO 45001 (safety) certified. However, the company faces a permitting dispute at its San Jose mine in Mexico where the environmental impact authorization expired, and a community blockade was reported [3]. Employee Retention (1/2): CEO Jorge Ganoza has led the company for 22 years since co-founding in 2004, and CFO Luis Dario Ganoza has served since 2006, demonstrating exceptional leadership continuity [5]. Employee count of ~4,960 across multiple continents suggests meaningful operational stability, though specific turnover data is unavailable. Insider Buying (0/2): No specific evidence of meaningful net insider buying by executives in the last 12 months was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 every available financial metric scores at or above the maximum target, reflecting the exceptional profitability environment for gold miners at record gold prices [4]. D/E of 12.87% is far below the 70% target (score 1.0, 1x weight), reflecting a conservative balance sheet. ROE of 24.15% exceeds the 15% target (score 1.0, 2x weight). Revenue growth of 38.2% YoY massively exceeds the 10% target (score 1.0, 1x weight), driven by production growth plus gold price appreciation [1]. Estimated 5yr revenue CAGR of approximately 28% also scores 1.0 (2x weight). Forward P/E of 5.94 is far below the 20 target (score 1.0, 1x weight). Profit margin of 31.98% substantially exceeds the 20% target (score 1.0, 1x weight) [4]. Weighted sum of 8.0 on 8 available weight units yields a perfect 10. Forward PEG excluded as unavailable. Liquidity floor easily met: daily dollar volume approximately $55.4M. Note: these metrics are significantly enhanced by record gold prices and may normalize if gold declines.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Fortuna demonstrates moderate infinite game characteristics through Jorge Ganoza's 22-year leadership continuity as co-founder and CEO, responsible mining practices (ISO-certified operations, Corporate Knights recognition, ESG-linked compensation), and a strategic evolution from silver to gold-dominant production [3][5]. The Roxgold acquisition and Diamba Sud development show long-term strategic vision. However, mining is inherently a finite-resource business — each mine has a limited life, and the company must continuously find and develop replacement deposits. The underlying business model of extracting depletable resources limits the infinite game dimension.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Fortuna's cause — responsible precious metals mining to create value for stakeholders — is functional but lacks the inspirational, inclusive dimension that defines a strong Just Cause in the Sinek framework. The company mines gold and silver for commodity markets; while it does so responsibly (ISO certifications, sustainability reporting, ESG-linked executive compensation), the underlying purpose does not extend beyond resource extraction for profit [3]. Community employment and social investment in mining regions are positive but secondary to the extraction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Ganoza's 22-year tenure and CFO Luis Dario Ganoza's 20-year tenure provide exceptional leadership stability that supports institutional trust [5]. Operating across five countries with ~4,960 employees requires significant organizational trust and decentralized decision-making. The implementation of a Korn Ferry-based talent management model demonstrates investment in people development. However, mining operations in developing countries face inherent labor and community relations challenges, and specific employee satisfaction or turnover data is unavailable for verification.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Fortuna competes in the mid-tier gold mining space against companies like Endeavour Mining, B2Gold, and IAMGOLD, consistently framing competition through operational excellence benchmarks rather than aggressive market share battles [1]. Management focuses on cost discipline, jurisdictional diversification, and responsible mining practices as competitive differentiators. The company's strategic evolution (silver to gold, Latin America to West Africa) reflects learning from industry trends and competitor positioning rather than destructive competitive behavior.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Fortuna transformed from a Latin American silver producer into a global gold miner through the Roxgold acquisition, fundamentally changing the company's production profile, geographic exposure, and strategic identity [1]. The rebranding from Fortuna Silver Mines to Fortuna Mining Corp. acknowledged this evolution. The Diamba Sud development and targeted 60% production increase represent continued strategic evolution. However, the business remains anchored to precious metals mining — there is no evidence of diversification into adjacent industries or business model innovation beyond resource extraction.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2021 Roxgold acquisition was a bold strategic move that transformed Fortuna's production profile and geographic reach, requiring significant capital commitment and integration risk in a new continent (West Africa) [1]. The decision to pursue Diamba Sud development in Senegal — a new country with emerging mining infrastructure — and the commitment to 60% production growth over 24 months show willingness to accept execution risk for long-term capability. However, these decisions were made in a rising gold price environment that reduced financial risk, and the conservative balance sheet (D/E 12.87%) suggests risk management takes priority over bold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Fortuna Mining at 5.94x forward earnings offers exceptional value exposure to the gold bull market — FY2025 revenue surged 40% to $947M with net income of $287M (+123%), and Q1 2026 set a record with $342.5M revenue (+76% YoY) and $111M adjusted net income [1]. Current TTM revenue growth of 38.2% with a 31.98% profit margin, 24.15% ROE, and D/E of just 12.87% produce a perfect 10 Infrastructure score as every IOWN financial metric exceeds targets [4]. The company targets 500,000 oz gold equivalent production by H2 2028, representing a 60% increase from 2025 levels, providing visible organic growth through Seguela expansion and Diamba Sud development in Senegal. CEO Jorge Ganoza's 22-year leadership tenure as co-founder provides strategic continuity rare in the mining sector.</w:t>
      </w:r>
    </w:p>
    <w:p>
      <w:pPr>
        <w:spacing w:after="120"/>
      </w:pPr>
      <w:r>
        <w:rPr>
          <w:rFonts w:ascii="Calibri" w:hAnsi="Calibri"/>
          <w:b w:val="0"/>
          <w:color w:val="3A4A28"/>
          <w:sz w:val="20"/>
        </w:rPr>
        <w:t>The primary risk is extreme gold price sensitivity — Fortuna's record profitability is overwhelmingly driven by elevated gold prices rather than operational improvements alone. A reversion to historical average gold prices ($1,800-2,000/oz) would compress margins by 50-60% and potentially trigger a 60-70% share price decline as both earnings and multiples compress simultaneously. The stock has pulled back from $11.42 (50-day SMA) to $10.17, suggesting some momentum weakness. Mining in Cote d'Ivoire and Senegal carries sovereign, security, and community relations risk — the company already faces a permitting dispute at its San Jose mine in Mexico where the environmental impact authorization expired [3]. The Inspiration score of 3 reflects the inherent limitation of resource extraction as a mission-driven business, and the Inspire Impact Score of 0 (MIXED) reflects limited ESG data coverage despite Fortuna's strong sustainability practices. Without a dividend, investors receive returns solely through share price appreciation in a cyclical commodity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tailwind driving record revenue and margins — FY2025 revenue $947M (+40%), Q1 2026 revenue $342.5M (+76% YoY), with forward PE compressing to 5.94x and profit margin expanding to 31.98% [1][4]</w:t>
      </w:r>
    </w:p>
    <w:p>
      <w:pPr>
        <w:spacing w:before="40" w:after="40"/>
        <w:ind w:left="283"/>
      </w:pPr>
      <w:r>
        <w:rPr>
          <w:rFonts w:ascii="Calibri" w:hAnsi="Calibri"/>
          <w:b/>
          <w:color w:val="4A6B25"/>
          <w:sz w:val="20"/>
        </w:rPr>
        <w:t xml:space="preserve">2. </w:t>
      </w:r>
      <w:r>
        <w:rPr>
          <w:rFonts w:ascii="Calibri" w:hAnsi="Calibri"/>
          <w:b w:val="0"/>
          <w:color w:val="3A4A28"/>
          <w:sz w:val="20"/>
        </w:rPr>
        <w:t>Planned 60% gold production increase to 500,000 oz equivalent by H2 2028 through Seguela mine expansion and Diamba Sud development in Senegal, providing organic volume growth independent of gold prices [1]</w:t>
      </w:r>
    </w:p>
    <w:p>
      <w:pPr>
        <w:spacing w:before="40" w:after="40"/>
        <w:ind w:left="283"/>
      </w:pPr>
      <w:r>
        <w:rPr>
          <w:rFonts w:ascii="Calibri" w:hAnsi="Calibri"/>
          <w:b/>
          <w:color w:val="4A6B25"/>
          <w:sz w:val="20"/>
        </w:rPr>
        <w:t xml:space="preserve">3. </w:t>
      </w:r>
      <w:r>
        <w:rPr>
          <w:rFonts w:ascii="Calibri" w:hAnsi="Calibri"/>
          <w:b w:val="0"/>
          <w:color w:val="3A4A28"/>
          <w:sz w:val="20"/>
        </w:rPr>
        <w:t>Fortress balance sheet with D/E of 12.87% and strong free cash flow generation ($259.7M in H1 2026) provides capital for growth, potential dividend initiation, or share buybacks as cash accumulates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gold price sensitivity — the record profitability is primarily a function of elevated gold prices, and a reversion to historical averages would compress margins by 50-60%, reduce EPS proportionally, and likely trigger significant share price decline [4]</w:t>
      </w:r>
    </w:p>
    <w:p>
      <w:pPr>
        <w:spacing w:before="40" w:after="40"/>
        <w:ind w:left="283"/>
      </w:pPr>
      <w:r>
        <w:rPr>
          <w:rFonts w:ascii="Calibri" w:hAnsi="Calibri"/>
          <w:b/>
          <w:color w:val="4A6B25"/>
          <w:sz w:val="20"/>
        </w:rPr>
        <w:t xml:space="preserve">2. </w:t>
      </w:r>
      <w:r>
        <w:rPr>
          <w:rFonts w:ascii="Calibri" w:hAnsi="Calibri"/>
          <w:b w:val="0"/>
          <w:color w:val="3A4A28"/>
          <w:sz w:val="20"/>
        </w:rPr>
        <w:t>Sovereign and operational risk in West Africa — mining operations in Cote d'Ivoire and development in Senegal expose Fortuna to political instability, regulatory changes, and security risks; permitting dispute at San Jose mine in Mexico demonstrates regulatory vulnerability [3]</w:t>
      </w:r>
    </w:p>
    <w:p>
      <w:pPr>
        <w:spacing w:before="40" w:after="40"/>
        <w:ind w:left="283"/>
      </w:pPr>
      <w:r>
        <w:rPr>
          <w:rFonts w:ascii="Calibri" w:hAnsi="Calibri"/>
          <w:b/>
          <w:color w:val="4A6B25"/>
          <w:sz w:val="20"/>
        </w:rPr>
        <w:t xml:space="preserve">3. </w:t>
      </w:r>
      <w:r>
        <w:rPr>
          <w:rFonts w:ascii="Calibri" w:hAnsi="Calibri"/>
          <w:b w:val="0"/>
          <w:color w:val="3A4A28"/>
          <w:sz w:val="20"/>
        </w:rPr>
        <w:t>No dividend policy despite substantial free cash flow and fortress balance sheet means investors receive returns exclusively through share price appreciation, concentrating outcome risk in a cyclical commodity business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Fortuna's core business — physically extracting precious metals from underground and open-pit mines across five countries — is structurally immune to AI disruption [1]. Gold mining requires heavy equipment operation, geological expertise, environmental compliance, sovereign government relationships, and community engagement that AI cannot replace. Mine permitting in West Africa and Latin America involves multi-year regulatory processes, land acquisition, and Indigenous consultation that require human judgment. AI adoption in mining (autonomous haulage, predictive maintenance, AI-assisted exploration) is an efficiency enabler that benefits Fortuna rather than threatening it — the company would be a consumer of such technology, not a victim of it. Rising AI infrastructure buildout also drives demand for precious metals used in electronics and as inflation hedges. AI Opportunity (0/1): Fortuna does not generate quantifiable revenue from AI-related products or services. The company operates traditional mining operations without disclosed AI product lines or AI-driven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Fortuna Mining Q1 2026 Earnings — Record Revenue $342.5M (+76% YoY), Adjusted Net Income $111M, Production Growth to 500K oz Target by H2 2028, May 2026</w:t>
      </w:r>
    </w:p>
    <w:p>
      <w:pPr>
        <w:spacing w:before="20" w:after="20"/>
        <w:ind w:left="170"/>
      </w:pPr>
      <w:r>
        <w:rPr>
          <w:rFonts w:ascii="Calibri" w:hAnsi="Calibri"/>
          <w:b/>
          <w:color w:val="4A6B25"/>
          <w:sz w:val="15"/>
        </w:rPr>
        <w:t xml:space="preserve">2. </w:t>
      </w:r>
      <w:r>
        <w:rPr>
          <w:rFonts w:ascii="Calibri" w:hAnsi="Calibri"/>
          <w:b w:val="0"/>
          <w:color w:val="3A4A28"/>
          <w:sz w:val="17"/>
        </w:rPr>
        <w:t>Fortuna Mining FY2025 Results — Revenue $947M (+40%), Net Income $287M (+123%), StockAnalysis Income Statement</w:t>
      </w:r>
    </w:p>
    <w:p>
      <w:pPr>
        <w:spacing w:before="20" w:after="20"/>
        <w:ind w:left="170"/>
      </w:pPr>
      <w:r>
        <w:rPr>
          <w:rFonts w:ascii="Calibri" w:hAnsi="Calibri"/>
          <w:b/>
          <w:color w:val="4A6B25"/>
          <w:sz w:val="15"/>
        </w:rPr>
        <w:t xml:space="preserve">3. </w:t>
      </w:r>
      <w:r>
        <w:rPr>
          <w:rFonts w:ascii="Calibri" w:hAnsi="Calibri"/>
          <w:b w:val="0"/>
          <w:color w:val="3A4A28"/>
          <w:sz w:val="17"/>
        </w:rPr>
        <w:t>Fortuna Mining Sustainability and ESG — ISO 14001/45001 Certifications, Corporate Knights Global 100 (2018), ESG-Linked Compensation, Mexico EIA Permitting Dispute, Mining-Journal.com,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FSM Key Statistics: Price $10.17, PE 9.08, Forward PE 5.94, D/E 12.87%, ROE 24.15%, Profit Margin 31.98%, Revenue Growth 38.2%, Avg Volume 5.4M,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Fortuna Mining Leadership — Co-founder/CEO Jorge Ganoza (since 2004), CFO Luis Dario Ganoza (since 2006), GlobalData Executive Profiles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