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FTECX</w:t>
      </w:r>
      <w:r>
        <w:rPr>
          <w:rFonts w:ascii="Calibri" w:hAnsi="Calibri"/>
          <w:b/>
          <w:color w:val="1A2010"/>
          <w:sz w:val="40"/>
        </w:rPr>
        <w:t xml:space="preserve">  Fidelity Advisor Technology Fund (Class C)</w:t>
      </w:r>
    </w:p>
    <w:p>
      <w:pPr>
        <w:spacing w:after="120"/>
      </w:pPr>
      <w:r>
        <w:rPr>
          <w:rFonts w:ascii="Calibri" w:hAnsi="Calibri"/>
          <w:b/>
          <w:color w:val="6E8450"/>
          <w:sz w:val="18"/>
        </w:rPr>
        <w:t>GROWTH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Mutual Fund · NASDAQ · United States</w:t>
      </w:r>
    </w:p>
    <w:p>
      <w:pPr>
        <w:spacing w:after="80"/>
      </w:pPr>
      <w:r>
        <w:rPr>
          <w:rFonts w:ascii="Calibri" w:hAnsi="Calibri"/>
          <w:b w:val="0"/>
          <w:color w:val="3A4A28"/>
          <w:sz w:val="20"/>
        </w:rPr>
        <w:t>FTECX is a share class of the Fidelity Advisor Technology Fund, an open-end mutual fund investing primarily in securities of companies in the technology sector. The fund's initial offering took place on 11/6/2025, with returns prior to that date representing those of the Fidelity Select Technology Portfolio [1]. Sub-advised by Fidelity Management &amp; Research Company. As a mutual fund vehicle, FTECX is structurally incompatible with the IOWN Return on Intention framework, which is designed to evaluate individual operating companies on their innovation, leadership, financial durability, and AI resilience — none of which are meaningful for a pooled investment vehicle that holds a diversified portfolio of other companies' stocks [2].</w:t>
      </w:r>
    </w:p>
    <w:p>
      <w:r>
        <w:rPr>
          <w:rFonts w:ascii="Calibri" w:hAnsi="Calibri"/>
          <w:b/>
          <w:color w:val="6E8450"/>
          <w:sz w:val="18"/>
        </w:rPr>
        <w:t>https://institutional.fidelity.com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Fidelity Advisor Technology Fund was launched as a new share class offering in November 2025, inheriting the track record of the Fidelity Select Technology Portfolio [1]. The underlying strategy has delivered strong technology sector returns, but this reflects the performance of held companies (Apple, Microsoft, NVIDIA, etc.), not innovation by the fund itself. AI Deployment (0/2): The fund does not develop or deploy AI products. Any AI exposure comes through portfolio holdings rather than the fund's own innovation. Market Share (0/2): One of many technology sector mutual funds competing with lower-cost ETFs like FTEC and QQQ. Not a category leader in AUM or flows. Product Pipeline (0/2): No next-generation products announced. Standard mutual fund structure. R&amp;D Intensity (0/1): Not applicable to fund management.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Fidelity Investments' broad mission — helping customers and clients achieve their financial goals — is generic corporate language interchangeable with any financial services firm. No distinctive purpose articulated for the Technology Fund specifically [1]. Community Impact (0/2): While Fidelity Investments has significant charitable programs (Fidelity Charitable is one of the largest donor-advised fund sponsors), these are not attributable to FTECX as a specific fund product. Employee Retention (0/2): No public data on retention specific to the fund management team. Fidelity broadly is considered a strong employer but this cannot be scored for a fund vehicle. Insider Buying (0/2): Not applicable to a mutual fund structure. No insider transaction data exists.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is scored 0 due to fundamental incompatibility between the IOWN framework and a mutual fund vehicle. FTECX is an open-end mutual fund purchased and redeemed at NAV — there is no secondary market trading and average daily volume is effectively 0, triggering the liquidity floor by definition [2]. All standard financial metrics (P/E, D/E, ROE, profit margin, revenue growth) are inapplicable to a fund structure. The fund's NAV reflects the aggregate value of its technology stock holdings, not the financial performance of an operating business. The Class C share structure typically layers 12b-1 fees and contingent deferred sales charges that create ongoing fee drag compared to lower-cost alternatives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FTECX is a mutual fund product within Fidelity's extensive fund lineup. Funds exist to generate risk-adjusted returns for shareholders — a legitimate purpose but not a Just Cause in Sinek's framework. The Class C share structure, which compensates financial advisors through trailing commissions, optimizes for distribution economics rather than long-term investor alignment. As a pooled investment vehicle, the Infinite Game framework is structurally inapplicable — mutual funds do not have leadership cultures, organizational trust, or existential flexibility in the way operating companies do.</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FTECX exists to provide technology sector exposure and generate investment returns. This is a financial service, not a Just Cause. No vision of a future state so compelling that people would sacrifice to advance it. The fund is one of thousands of similar products in the mutual fund industry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a mutual fund, there is no organizational team to evaluate in the Sinek sense. Portfolio management is handled by Fidelity's investment team, while distribution and administration are handled separately. No data on culture, trust, or team dynamics within the fund management group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fund competes in the technology sector category with dozens of active and passive alternatives but does not publicly acknowledge or learn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fund follows a defined technology sector mandate. Any strategic pivot would constitute a fundamental change requiring shareholder approval and prospectus amendments. The fund structure inherently limits existential flexibility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specific to this fund product. Investment decisions are made within the technology sector mandate and Fidelity's risk management framework, not as acts of principled leadership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FTECX provides exposure to technology sector stocks through Fidelity's active management expertise, inheriting the track record of the Fidelity Select Technology Portfolio which has delivered strong long-term returns in the technology sector [1]. For investors who prefer active management and work with financial advisors in the Class C fee structure, the fund provides a packaged solution for technology sector allocation. The Fidelity brand carries institutional credibility and deep research resources.</w:t>
      </w:r>
    </w:p>
    <w:p>
      <w:pPr>
        <w:spacing w:after="120"/>
      </w:pPr>
      <w:r>
        <w:rPr>
          <w:rFonts w:ascii="Calibri" w:hAnsi="Calibri"/>
          <w:b w:val="0"/>
          <w:color w:val="3A4A28"/>
          <w:sz w:val="20"/>
        </w:rPr>
        <w:t>However, FTECX is structurally incompatible with the IOWN Return on Intention framework, which evaluates operating companies rather than fund vehicles. Mutual funds cannot be scored on innovation, infrastructure, inspiration, or infinite game thinking because these dimensions measure company-specific attributes that funds do not possess. The Class C share structure layers ongoing distribution fees that create persistent cost drag compared to lower-cost alternatives like the Fidelity MSCI Information Technology Index ETF (FTEC) at ~0.08% expense ratio [1][2]. The SELL rating reflects framework incompatibility rather than a judgment on the fund's investment merit — investors seeking technology sector exposure should evaluate FTECX on fund-specific criteria (expense ratio, manager track record, tax efficiency) rather than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technology sector outperformance driven by AI adoption cycle could benefit the fund's NAV through its portfolio holdings in major tech companies</w:t>
      </w:r>
    </w:p>
    <w:p>
      <w:pPr>
        <w:spacing w:before="40" w:after="40"/>
        <w:ind w:left="283"/>
      </w:pPr>
      <w:r>
        <w:rPr>
          <w:rFonts w:ascii="Calibri" w:hAnsi="Calibri"/>
          <w:b/>
          <w:color w:val="4A6B25"/>
          <w:sz w:val="20"/>
        </w:rPr>
        <w:t xml:space="preserve">2. </w:t>
      </w:r>
      <w:r>
        <w:rPr>
          <w:rFonts w:ascii="Calibri" w:hAnsi="Calibri"/>
          <w:b w:val="0"/>
          <w:color w:val="3A4A28"/>
          <w:sz w:val="20"/>
        </w:rPr>
        <w:t>Active management adding alpha through stock selection in a more volatile technology market environment where dispersion increases</w:t>
      </w:r>
    </w:p>
    <w:p>
      <w:pPr>
        <w:spacing w:before="40" w:after="40"/>
        <w:ind w:left="283"/>
      </w:pPr>
      <w:r>
        <w:rPr>
          <w:rFonts w:ascii="Calibri" w:hAnsi="Calibri"/>
          <w:b/>
          <w:color w:val="4A6B25"/>
          <w:sz w:val="20"/>
        </w:rPr>
        <w:t xml:space="preserve">3. </w:t>
      </w:r>
      <w:r>
        <w:rPr>
          <w:rFonts w:ascii="Calibri" w:hAnsi="Calibri"/>
          <w:b w:val="0"/>
          <w:color w:val="3A4A28"/>
          <w:sz w:val="20"/>
        </w:rPr>
        <w:t>Potential share class conversion to lower-cost Institutional or ETF structure that would reduce fee drag and improve net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 C share structure carries ongoing distribution fees (typically 1% 12b-1 fee) that create persistent cost drag compared to low-cost index ETFs offering identical technology sector exposure [1]</w:t>
      </w:r>
    </w:p>
    <w:p>
      <w:pPr>
        <w:spacing w:before="40" w:after="40"/>
        <w:ind w:left="283"/>
      </w:pPr>
      <w:r>
        <w:rPr>
          <w:rFonts w:ascii="Calibri" w:hAnsi="Calibri"/>
          <w:b/>
          <w:color w:val="4A6B25"/>
          <w:sz w:val="20"/>
        </w:rPr>
        <w:t xml:space="preserve">2. </w:t>
      </w:r>
      <w:r>
        <w:rPr>
          <w:rFonts w:ascii="Calibri" w:hAnsi="Calibri"/>
          <w:b w:val="0"/>
          <w:color w:val="3A4A28"/>
          <w:sz w:val="20"/>
        </w:rPr>
        <w:t>As a mutual fund, FTECX is structurally incompatible with the IOWN framework — all dimensional scores reflect this mismatch rather than underlying investment quality [2]</w:t>
      </w:r>
    </w:p>
    <w:p>
      <w:pPr>
        <w:spacing w:before="40" w:after="40"/>
        <w:ind w:left="283"/>
      </w:pPr>
      <w:r>
        <w:rPr>
          <w:rFonts w:ascii="Calibri" w:hAnsi="Calibri"/>
          <w:b/>
          <w:color w:val="4A6B25"/>
          <w:sz w:val="20"/>
        </w:rPr>
        <w:t xml:space="preserve">3. </w:t>
      </w:r>
      <w:r>
        <w:rPr>
          <w:rFonts w:ascii="Calibri" w:hAnsi="Calibri"/>
          <w:b w:val="0"/>
          <w:color w:val="3A4A28"/>
          <w:sz w:val="20"/>
        </w:rPr>
        <w:t>Secular shift from active to passive management continues to accelerate, with technology sector ETFs gaining share at the expense of higher-cost actively managed mutual funds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EXPOSED. Active mutual fund management faces meaningful AI disruption risk from multiple vectors. AI-powered ETFs and robo-advisors are increasingly replicating factor-based and sector-specific investment strategies at dramatically lower cost. The secular shift from active to passive management continues to accelerate, with technology sector ETFs like FTEC (expense ratio ~0.08%) offering near-identical exposure at a fraction of the cost of actively managed Class C mutual fund shares [1]. However, the fund's underlying holdings — major technology companies — are themselves well-positioned for AI, and active management retains value in timing and selection during volatile periods. AI Opportunity (0/1): No AI revenue. The fund does not deploy or sell AI-powered investment products, though its portfolio holdings include major AI beneficiaries.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Fidelity Institutional — Fidelity Advisor Technology Fund Product Page, Class Offerings, Initial Offering Date 11/6/2025,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FTECX Fund Data: NAV $9.42, QuoteType: MUTUALFUND,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