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FTHY</w:t>
      </w:r>
      <w:r>
        <w:rPr>
          <w:rFonts w:ascii="Calibri" w:hAnsi="Calibri"/>
          <w:b/>
          <w:color w:val="1A2010"/>
          <w:sz w:val="40"/>
        </w:rPr>
        <w:t xml:space="preserve">  First Trust High Yield Opportunities 2027 Term Fund</w:t>
      </w:r>
    </w:p>
    <w:p>
      <w:pPr>
        <w:spacing w:after="120"/>
      </w:pPr>
      <w:r>
        <w:rPr>
          <w:rFonts w:ascii="Calibri" w:hAnsi="Calibri"/>
          <w:b/>
          <w:color w:val="6E8450"/>
          <w:sz w:val="18"/>
        </w:rPr>
        <w:t>DIVIDEND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Closed-End Fund - Debt · NYSE · United States</w:t>
      </w:r>
    </w:p>
    <w:p>
      <w:pPr>
        <w:spacing w:after="80"/>
      </w:pPr>
      <w:r>
        <w:rPr>
          <w:rFonts w:ascii="Calibri" w:hAnsi="Calibri"/>
          <w:b w:val="0"/>
          <w:color w:val="3A4A28"/>
          <w:sz w:val="20"/>
        </w:rPr>
        <w:t>First Trust High Yield Opportunities 2027 Term Fund is a diversified, closed-end management investment company that seeks current income by investing primarily in high-yield corporate debt securities. Managed by First Trust Advisors L.P. (Wheaton, Illinois), the fund converted from a perpetual structure to a term fund in August 2024, with mandatory tender offer and liquidation targeted for December 2027. The fund pays monthly distributions and trades on the NYSE at approximately $12.82 with net assets of roughly $471M.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FTHY is a closed-end bond fund that buys and holds high-yield corporate debt — there are no product launches, business model pivots, or transformative innovations. The most significant structural change was the 2024 conversion from a perpetual to a term fund terminating in December 2027 [1]. AI Deployment (0/2): No evidence of AI-powered investment tools or AI-driven portfolio management; First Trust manages the fund through traditional credit research and fixed-income analytics. Market Share (0/2): FTHY is one of hundreds of high-yield closed-end funds with no meaningful market share differentiation; net assets of approximately $471M represent a small fraction of the high-yield bond market [1]. Product Pipeline (0/2): No next-generation products — the fund is scheduled to liquidate in December 2027 and has no successor vehicle announced. R&amp;D Intensity (1/1): First Trust as an organization invests in portfolio management capabilities, earning a minimal point for institutional infrastructure, though this is not R&amp;D in the traditional sense.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First Trust's general purpose is to provide investment products and advisory services — a generic financial services objective shared by thousands of asset managers. No distinctive mission, vision, or purpose statement connects the fund or its manager to a larger cause [1]. Community Impact (0/2): No evidence of charitable programs, community investment, or social impact initiatives specific to FTHY or First Trust Advisors beyond standard corporate practices. Employee Retention (0/2): Not directly applicable — FTHY is a fund vehicle, not an operating company with employees. Portfolio managers Jeffrey Scott, Kevin Ziets, and William Housey manage the portfolio, but no retention or tenure data was found [1]. Insider Buying (0/2): No evidence of insider buying by fund managers or First Trust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as a Dividend fund with severely limited metrics. Most core financial metrics (D/E, ROE, revenue growth, Forward P/E) are not applicable to a closed-end bond fund and return null from data sources [1]. Available metrics: Profit margin of 0% (score 0.0, not meaningful for a bond fund where 'profit' is net investment income distributed to shareholders); payout ratio of approximately 217% (score 0.0, above the 100% floor as the fund distributes more than net investment income, likely returning capital); consecutive years of distributions paid approximately 6 years since inception (score 0.6, 2x weight). Weighted sum of 1.2 on max weight of 4 yields a mechanically calculated score of 3. Liquidity check: 106,556 avg daily volume x $12.82 = $1.37M, clearing the $1M floor but providing thin liquidity for institutional-size positions.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 term fund scheduled to liquidate in December 2027 is, by definition, playing a finite game with a known end date. FTHY exists to generate income for shareholders and return capital by its termination date — there is no Just Cause, no vision of a future worth building toward, and no organizational mission beyond investment management. First Trust as an organization may have longer-term aspirations, but the fund vehicle itself is designed to end. Sinek would note that a fund with a liquidation date has replaced the infinite goal of 'keep playing' with the finite objective of 'maximize returns before the clock runs out.'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FTHY has no Just Cause. It exists to invest in high-yield bonds and distribute income to shareholders until its December 2027 termination [1]. The conversion from a perpetual to a term structure in 2024 was the opposite of infinite game thinking — it set a definitive end date for the organization, the ultimate finite move.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Not meaningfully applicable. FTHY is a fund vehicle managed by a small team of portfolio managers (Jeffrey Scott, Kevin Ziets, William Housey) at First Trust Advisors [1]. There is no broad organizational culture to evaluate, no employee base to assess, and no evidence of trust-building practices or cultural investments.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rivals mindset. Closed-end funds compete for investor capital through yield, discount/premium management, and total returns, but FTHY's management has not articulated a learning-oriented competitive philosophy.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2024 conversion from a perpetual closed-end fund to a term fund represented a significant structural change driven by shareholder activism and the persistent discount to NAV that plagues the closed-end fund sector [1]. This willingness to fundamentally alter the fund's structure demonstrates some flexibility, though it was a defensive move to protect shareholder value rather than a cause-driven pivot.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conversion to a term fund was a response to shareholder pressure about persistent NAV discounts, not a proactive strategic choice. The fund's management has not demonstrated willingness to sacrifice short-term performance for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FTHY at $12.82 offers an 11.7% distribution yield with a defined December 2027 termination date that provides a natural catalyst for discount narrowing — as the liquidation date approaches, the market price should converge toward NAV, delivering both income and capital appreciation for investors who buy at a discount [1]. The fund's high-yield corporate bond portfolio benefits from a resilient credit environment, with the trailing 1-year total return of 7.75% demonstrating adequate performance. Monthly distributions provide consistent income, and the 15-month runway to termination limits duration risk.</w:t>
      </w:r>
    </w:p>
    <w:p>
      <w:pPr>
        <w:spacing w:after="120"/>
      </w:pPr>
      <w:r>
        <w:rPr>
          <w:rFonts w:ascii="Calibri" w:hAnsi="Calibri"/>
          <w:b w:val="0"/>
          <w:color w:val="3A4A28"/>
          <w:sz w:val="20"/>
        </w:rPr>
        <w:t>The bear case is structural. The payout ratio of approximately 217% indicates the fund is distributing more than its net investment income, likely returning capital to shareholders — a warning sign that the yield is partially illusory. The 52-week range of $12.54-$14.42 suggests price volatility inconsistent with a near-term liquidating vehicle, and the thin daily dollar volume of $1.37M limits exit flexibility. The IOWN Return on Intention framework is designed to evaluate operating companies, not closed-end bond funds — the fund has no innovation capability, no organizational mission, no competitive moat, and no growth trajectory. The low overall score of 28 reflects this framework mismatch rather than a judgment on the fund's merits as a fixed-income investment. Investors should evaluate FTHY using credit quality metrics, discount-to-NAV analysis, and effective yield calculations rather than the equity-oriented IOWN scoring system.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December 2027 term fund liquidation provides a natural catalyst for discount-to-NAV convergence, potentially delivering 5-10% capital appreciation in addition to the 11.7% distribution yield as the market price approaches NAV [1]</w:t>
      </w:r>
    </w:p>
    <w:p>
      <w:pPr>
        <w:spacing w:before="40" w:after="40"/>
        <w:ind w:left="283"/>
      </w:pPr>
      <w:r>
        <w:rPr>
          <w:rFonts w:ascii="Calibri" w:hAnsi="Calibri"/>
          <w:b/>
          <w:color w:val="4A6B25"/>
          <w:sz w:val="20"/>
        </w:rPr>
        <w:t xml:space="preserve">2. </w:t>
      </w:r>
      <w:r>
        <w:rPr>
          <w:rFonts w:ascii="Calibri" w:hAnsi="Calibri"/>
          <w:b w:val="0"/>
          <w:color w:val="3A4A28"/>
          <w:sz w:val="20"/>
        </w:rPr>
        <w:t>Resilient high-yield credit environment with default rates below historical averages supports the underlying portfolio quality and distribution sustainability through the remaining fund life</w:t>
      </w:r>
    </w:p>
    <w:p>
      <w:pPr>
        <w:spacing w:before="40" w:after="40"/>
        <w:ind w:left="283"/>
      </w:pPr>
      <w:r>
        <w:rPr>
          <w:rFonts w:ascii="Calibri" w:hAnsi="Calibri"/>
          <w:b/>
          <w:color w:val="4A6B25"/>
          <w:sz w:val="20"/>
        </w:rPr>
        <w:t xml:space="preserve">3. </w:t>
      </w:r>
      <w:r>
        <w:rPr>
          <w:rFonts w:ascii="Calibri" w:hAnsi="Calibri"/>
          <w:b w:val="0"/>
          <w:color w:val="3A4A28"/>
          <w:sz w:val="20"/>
        </w:rPr>
        <w:t>Monthly distribution payments of approximately $0.125/share provide consistent income for yield-focused investors in a declining interest rate environment where comparable yields become scarcer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Distribution sustainability concern — the ~217% payout ratio indicates the fund distributes more than net investment income, suggesting partial return of capital that erodes NAV and makes the stated yield misleading [1]</w:t>
      </w:r>
    </w:p>
    <w:p>
      <w:pPr>
        <w:spacing w:before="40" w:after="40"/>
        <w:ind w:left="283"/>
      </w:pPr>
      <w:r>
        <w:rPr>
          <w:rFonts w:ascii="Calibri" w:hAnsi="Calibri"/>
          <w:b/>
          <w:color w:val="4A6B25"/>
          <w:sz w:val="20"/>
        </w:rPr>
        <w:t xml:space="preserve">2. </w:t>
      </w:r>
      <w:r>
        <w:rPr>
          <w:rFonts w:ascii="Calibri" w:hAnsi="Calibri"/>
          <w:b w:val="0"/>
          <w:color w:val="3A4A28"/>
          <w:sz w:val="20"/>
        </w:rPr>
        <w:t>High-yield credit deterioration — if recession risk materializes before the December 2027 termination, defaults in the underlying portfolio could impair both distributions and NAV, with limited ability to recover given the fixed termination date</w:t>
      </w:r>
    </w:p>
    <w:p>
      <w:pPr>
        <w:spacing w:before="40" w:after="40"/>
        <w:ind w:left="283"/>
      </w:pPr>
      <w:r>
        <w:rPr>
          <w:rFonts w:ascii="Calibri" w:hAnsi="Calibri"/>
          <w:b/>
          <w:color w:val="4A6B25"/>
          <w:sz w:val="20"/>
        </w:rPr>
        <w:t xml:space="preserve">3. </w:t>
      </w:r>
      <w:r>
        <w:rPr>
          <w:rFonts w:ascii="Calibri" w:hAnsi="Calibri"/>
          <w:b w:val="0"/>
          <w:color w:val="3A4A28"/>
          <w:sz w:val="20"/>
        </w:rPr>
        <w:t>Thin liquidity — average daily dollar volume of just $1.37M barely clears the IOWN $1M floor and provides inadequate exit capacity for institutional-size positions, creating execution risk for portfolio adjustments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 high-yield bond fund's core business — credit analysis, portfolio construction, and fixed-income trading — involves judgment-intensive processes that AI can enhance but not fully replace. AI tools are increasingly used in credit screening, default prediction, and bond pricing, which could reduce the value proposition of active management fees over time [1]. However, high-yield credit markets require relationship-driven deal sourcing, covenant negotiation expertise, and distressed debt workout capabilities that remain human-intensive. The fund's physical-world exposure (its bonds finance real companies with tangible assets) provides structural protection. The December 2027 termination limits long-term AI disruption risk to the fund vehicle itself. AI Opportunity (1/1): First Trust and its sub-advisors likely employ quantitative tools including AI-enhanced credit screening and risk models in portfolio management, though no specific AI revenue or product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Trust High Yield Opportunities 2027 Term Fund — SEC N-CSR Annual Report FY2026, Yahoo Finance Quote Data, CEFConnect Fund Profile, Robinhood and GuruFocus Fund Details,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