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FTV</w:t>
      </w:r>
      <w:r>
        <w:rPr>
          <w:rFonts w:ascii="Calibri" w:hAnsi="Calibri"/>
          <w:b/>
          <w:color w:val="1A2010"/>
          <w:sz w:val="40"/>
        </w:rPr>
        <w:t xml:space="preserve">  Fortive Corporation</w:t>
      </w:r>
    </w:p>
    <w:p>
      <w:pPr>
        <w:spacing w:after="120"/>
      </w:pPr>
      <w:r>
        <w:rPr>
          <w:rFonts w:ascii="Calibri" w:hAnsi="Calibri"/>
          <w:b/>
          <w:color w:val="6E8450"/>
          <w:sz w:val="18"/>
        </w:rPr>
        <w:t>GROWTH SLEEVE · 2026-08-31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Fortive Corporation is a diversified industrial technology company providing essential instruments, software, and services through two segments: Intelligent Operating Solutions (Fluke, Accruent, Gordian, ServiceChannel — $758M Q2 revenue, +8.8%) and Advanced Healthcare Solutions (ASP, Provation, Censis — $339M Q2 revenue, +6.0%). Q2 2026 delivered $1.10B revenue with 6.7% core growth and 28% adjusted EPS growth, leading management to raise FY2026 EPS guidance to $2.95-$3.05 and core growth to ~4%. Spun off from Danaher in 2016, with ~18,000 employees across 60 countries. CEO transition from Jim Lico to Olumide Soroye underway.</w:t>
      </w:r>
    </w:p>
    <w:p>
      <w:r>
        <w:rPr>
          <w:rFonts w:ascii="Calibri" w:hAnsi="Calibri"/>
          <w:b/>
          <w:color w:val="6E8450"/>
          <w:sz w:val="18"/>
        </w:rPr>
        <w:t>18,000 Employees · https://www.fortive.com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Fortive has executed a multi-year portfolio transformation since spinning off from Danaher in 2016, divesting Vontier in 2020 and separating Precision Technologies in 2024, while acquiring Accruent, Gordian, and ServiceChannel to pivot toward software-powered recurring-revenue workflow solutions — a meaningful strategic repositioning that opened new revenue streams [1][2]. AI Deployment (1/2): Fortive has introduced AI-powered automation features within Fluke and Censis product lines, and the board appointment of Gregory Moore (AI/healthcare background) signals strategic AI intent, but no quantified AI revenue or specific shipping metrics have been disclosed [4]. Market Share (2/2): Fluke Corporation holds the global leadership position in handheld test and measurement instruments with decades of brand dominance, while ASP maintains a dominant position in healthcare sterilization serving the vast majority of U.S. hospitals [1]. Product Pipeline (1/2): Management references continued investment in software-enabled workflow solutions and recurring revenue model expansion, but specific next-generation products with launch timelines have not been publicly detailed beyond the general Fortive Accelerated framework [1]. R&amp;D Intensity (0/1): Fortive does not separately disclose R&amp;D spending in public filings, making verification against industrial technology peers impossible.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Fortive's stated mission — 'to provide the essential technology for the people who create, implement, and accelerate progress' — identifies who the company serves and connects its work to enabling progress, but it reads as a competent corporate statement rather than a deeply inspiring purpose, and as a 10-year-old spinoff it has not been validated through decades of independent execution [4]. Community Impact (1/2): Fortive has been recognized by Ethisphere as one of the World's Most Ethical Companies and named by Newsweek as one of America's Most Responsible Companies for 6 consecutive years, with SBTi-aligned GHG emissions reduction commitments, indicating meaningful but standard corporate responsibility programs [3]. Employee Retention (1/2): Fortive holds Great Place to Work certification and has maintained leadership continuity through a planned CEO transition from Jim Lico to Olumide Soroye, though Glassdoor reviews are polarized with some citing 'toxic positivity' and disconnected leadership [3]. No specific retention or tenure data was found. Insider Buying (0/2): CEO James Lico executed net insider selling of approximately $29M in stock across February 2025 ($15.76M) and May 2025 ($13M), with zero open-market purchases in the past 5 years per SEC Form 4 filings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FY2026 delivered $1.10B revenue with 6.7% core growth and adjusted EPS growth of 28%, leading management to raise FY2026 EPS guidance to $2.95-$3.05 and core growth to ~4% (up from 2-3%) [1]. D/E of 57% is well-managed with approximately $2.6B long-term debt. However, ROE of 7.49% remains significantly below the 15% target, dragged down by $6B+ in goodwill and intangible assets from serial acquisitions. Profit margin of 12.91% is moderate for a technology-oriented industrial. Forward P/E of ~20x is at the target boundary, and PEG of 3.34 exceeds the 3.0 floor (scoring 0 with 2x weight) — the valuation implies substantially more growth than 4% core organic growth supports. Full-year 2026 revenue guidance of approximately $4.35B reflects continued steady but unspectacular growth. Liquidity floor cleared: 3.37M avg volume x ~$60 = $202M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Fortive demonstrates mixed infinite-game characteristics. The company has shown strategic willingness to reshape its portfolio through major divestitures (Vontier, Precision Technologies) in service of a more focused software-oriented future, and the Fortive Business System inherited from Danaher provides a genuine continuous-improvement operating philosophy. However, as a 10-year-old spinoff, Fortive lacks the multi-decade track record that validates a Just Cause, and the acquisition-driven strategy is more formula than cause in the Sinek sense.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Fortive's purpose of 'providing essential technology for people who accelerate progress' is a reasonable articulation but reads as a corporate statement rather than a deeply held Just Cause that shapes strategic decisions [4]. The company was spun off from Danaher just 10 years ago and has not yet demonstrated multi-decade consistency of purpose through leadership transitions or market crises. Strategic decisions — portfolio reshaping, software pivot, acquisitions — can be traced to operational optimization and financial engineering rather than a compelling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Fortive Business System provides a consistent operational framework and shared language across diverse businesses, and Great Place to Work certification suggests adequate organizational health [3]. However, Glassdoor reviews reveal concerns about 'toxic positivity,' encouragement to embellish outcomes, and frequent leadership rotation that prevents operating companies from building sustained strategic direction. Employee trust appears adequate but not exceptional, with organizational culture still maturing through the CEO transition from Lico to Soroye.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Fortive's competitive language centers on 'innovation velocity' and continuous improvement through the Fortive Business System rather than defeating competitors [4]. The company's DNA — literally spun from Danaher — acknowledges its parent as both a worthy rival and source of best practices. Management frames competition as motivation to improve rather than a zero-sum battle against Keysight, Emerson, or Honeywell.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Fortive has demonstrated meaningful portfolio flexibility through the Vontier spinoff (2020) and Precision Technologies separation (2024), fundamentally reshaping its revenue mix from diversified industrial to focused technology-and-software [1][2]. These were significant structural changes, though they represent incremental portfolio optimization through divestiture and acquisition rather than the transformative business model reinvention Sinek describes — the FBS playbook remains the same across all portfolio changes.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divest profitable industrial businesses (Vontier, Precision Technologies) to focus on higher-margin software-recurring revenue represents meaningful strategic courage — management chose long-term portfolio quality over short-term revenue size [2]. The aggressive $500M share repurchase in Q1 FY2026 (~3% of float) during macro uncertainty also demonstrates capital allocation conviction [1]. However, the strategy is fundamentally conservative — acquiring proven businesses and applying FBS — rather than making bold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Fortive delivered an accelerating Q2 FY2026 — $1.10B revenue with 6.7% core growth (up from 5.3% in Q1) and 28% adjusted EPS growth, leading management to raise FY2026 EPS guidance to $2.95-$3.05 and core growth to ~4% (from 2-3%) [1]. Intelligent Operating Solutions grew 8.8% to $758M, powered by strong CertiFiber Max demand, while Advanced Healthcare Solutions grew 6.0% to $339M [1]. The Fortive Accelerated strategy continues driving portfolio shift toward higher-margin, recurring software revenue through Accruent, Gordian, and ServiceChannel, while Fluke's dominant global position in test and measurement provides a stable, cash-generating foundation. D/E of 57% provides balance sheet flexibility, and aggressive share repurchases continue boosting per-share metrics. EBITDA margins are expanding toward the company's targets as the software mix increases.</w:t>
      </w:r>
    </w:p>
    <w:p>
      <w:pPr>
        <w:spacing w:after="120"/>
      </w:pPr>
      <w:r>
        <w:rPr>
          <w:rFonts w:ascii="Calibri" w:hAnsi="Calibri"/>
          <w:b w:val="0"/>
          <w:color w:val="3A4A28"/>
          <w:sz w:val="20"/>
        </w:rPr>
        <w:t>The primary concern remains valuation relative to growth. At ~20x forward earnings and a PEG of 3.34, Fortive is priced for substantially more growth than even the improved 4% organic growth guidance supports, creating significant multiple compression risk on any execution miss [1]. Return on equity of 7.49% is well below the 15% target, reflecting the drag from $6B+ in goodwill and intangible assets accumulated through serial acquisitions that have not yet earned their cost of capital. CEO James Lico's pattern of net selling ($29M in stock sales in 2025 with zero open-market purchases in 5 years) signals limited insider conviction during the critical leadership transition to incoming CEO Olumide Soroye [5]. The Inspire Impact Score of -49 (MISALIGNED) limits allocation for faith-based investors. Mixed Glassdoor reviews citing 'toxic positivity' and disconnected leadership suggest organizational culture risks that could impair the software transformation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growth acceleration to ~4% (raised from 2-3%) with Q2 Intelligent Operating Solutions growing 8.8% and CertiFiber Max demand driving strong Fluke performance, potentially signaling the portfolio transformation is beginning to deliver organic growth [1]</w:t>
      </w:r>
    </w:p>
    <w:p>
      <w:pPr>
        <w:spacing w:before="40" w:after="40"/>
        <w:ind w:left="283"/>
      </w:pPr>
      <w:r>
        <w:rPr>
          <w:rFonts w:ascii="Calibri" w:hAnsi="Calibri"/>
          <w:b/>
          <w:color w:val="4A6B25"/>
          <w:sz w:val="20"/>
        </w:rPr>
        <w:t xml:space="preserve">2. </w:t>
      </w:r>
      <w:r>
        <w:rPr>
          <w:rFonts w:ascii="Calibri" w:hAnsi="Calibri"/>
          <w:b w:val="0"/>
          <w:color w:val="3A4A28"/>
          <w:sz w:val="20"/>
        </w:rPr>
        <w:t>FBS-driven margin expansion with adjusted EBITDA growing 12-13% YoY as software-recurring revenue mix from Accruent, Gordian, and ServiceChannel scales within the Fortive Accelerated framework [1]</w:t>
      </w:r>
    </w:p>
    <w:p>
      <w:pPr>
        <w:spacing w:before="40" w:after="40"/>
        <w:ind w:left="283"/>
      </w:pPr>
      <w:r>
        <w:rPr>
          <w:rFonts w:ascii="Calibri" w:hAnsi="Calibri"/>
          <w:b/>
          <w:color w:val="4A6B25"/>
          <w:sz w:val="20"/>
        </w:rPr>
        <w:t xml:space="preserve">3. </w:t>
      </w:r>
      <w:r>
        <w:rPr>
          <w:rFonts w:ascii="Calibri" w:hAnsi="Calibri"/>
          <w:b w:val="0"/>
          <w:color w:val="3A4A28"/>
          <w:sz w:val="20"/>
        </w:rPr>
        <w:t>Raised FY2026 EPS guidance to $2.95-$3.05 with 28% Q2 EPS growth demonstrating operating leverage — if this pace continues, earnings power could justify the premium valuation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PEG ratio of 3.34 and forward P/E of 20.6x price in substantially more growth than the 2-3% organic growth guidance supports, creating severe downside risk on any revenue deceleration or macro slowdown</w:t>
      </w:r>
    </w:p>
    <w:p>
      <w:pPr>
        <w:spacing w:before="40" w:after="40"/>
        <w:ind w:left="283"/>
      </w:pPr>
      <w:r>
        <w:rPr>
          <w:rFonts w:ascii="Calibri" w:hAnsi="Calibri"/>
          <w:b/>
          <w:color w:val="4A6B25"/>
          <w:sz w:val="20"/>
        </w:rPr>
        <w:t xml:space="preserve">2. </w:t>
      </w:r>
      <w:r>
        <w:rPr>
          <w:rFonts w:ascii="Calibri" w:hAnsi="Calibri"/>
          <w:b w:val="0"/>
          <w:color w:val="3A4A28"/>
          <w:sz w:val="20"/>
        </w:rPr>
        <w:t>ROE of 6.81% reflects $6B+ in acquisition-related goodwill and intangibles — the software transformation thesis requires acquired businesses to generate returns that justify the capital deployed, and integration execution risk remains elevated across multiple platforms</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Lico to Soroye combined with net insider selling of $29M in 2025, a 25% dividend cut, and mixed employee culture reviews create leadership continuity risk at a critical inflection point in the company's strategic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Fortive's core businesses are structurally protected from AI disruption. Fluke's handheld test and measurement instruments require physical-world measurement of electrical, thermal, and mechanical systems that AI cannot substitute — electricians and manufacturing engineers need physical tools regardless of AI advancement [1]. ASP's healthcare sterilization equipment involves deeply regulated physical processes with FDA oversight and no AI substitution pathway. The software businesses (Accruent, Gordian, ServiceChannel) have deep workflow integration and switching costs that provide meaningful defensive moats, though they face moderate exposure to AI-powered facilities management competitors over time. Analysts have not flagged AI as a meaningful risk factor for Fortive's business lines. AI Opportunity (0/1): While Fortive has announced AI-powered features in Fluke and Censis products and appointed an AI-focused board member, no quantified AI revenue has been disclosed, and AI remains an incremental feature enhancement rather than a revenue-generating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Fortive Q1 &amp; Q2 FY2026 Earnings — Q2 Revenue $1.10B (6.7% Core Growth), IOS $758M (+8.8%), AHS $339M (+6.0%), Adj EPS +28%, FY2026 Guidance Raised to $2.95-$3.05, investors.fortive.com, July 2026</w:t>
      </w:r>
    </w:p>
    <w:p>
      <w:pPr>
        <w:spacing w:before="20" w:after="20"/>
        <w:ind w:left="170"/>
      </w:pPr>
      <w:r>
        <w:rPr>
          <w:rFonts w:ascii="Calibri" w:hAnsi="Calibri"/>
          <w:b/>
          <w:color w:val="4A6B25"/>
          <w:sz w:val="15"/>
        </w:rPr>
        <w:t xml:space="preserve">2. </w:t>
      </w:r>
      <w:r>
        <w:rPr>
          <w:rFonts w:ascii="Calibri" w:hAnsi="Calibri"/>
          <w:b w:val="0"/>
          <w:color w:val="3A4A28"/>
          <w:sz w:val="17"/>
        </w:rPr>
        <w:t>Fortive FY2025 Full Year Results and Portfolio Transformation — Vontier Spinoff, Precision Technologies Separation, investors.fortive.com, 2020-2026</w:t>
      </w:r>
    </w:p>
    <w:p>
      <w:pPr>
        <w:spacing w:before="20" w:after="20"/>
        <w:ind w:left="170"/>
      </w:pPr>
      <w:r>
        <w:rPr>
          <w:rFonts w:ascii="Calibri" w:hAnsi="Calibri"/>
          <w:b/>
          <w:color w:val="4A6B25"/>
          <w:sz w:val="15"/>
        </w:rPr>
        <w:t xml:space="preserve">3. </w:t>
      </w:r>
      <w:r>
        <w:rPr>
          <w:rFonts w:ascii="Calibri" w:hAnsi="Calibri"/>
          <w:b w:val="0"/>
          <w:color w:val="3A4A28"/>
          <w:sz w:val="17"/>
        </w:rPr>
        <w:t>Fortive ESG Recognition and Sustainability — Ethisphere Most Ethical Companies, Great Place to Work, SBTi-aligned Targets, 60%+ Revenue from Sustainability-Related Products</w:t>
      </w:r>
    </w:p>
    <w:p>
      <w:pPr>
        <w:spacing w:before="20" w:after="20"/>
        <w:ind w:left="170"/>
      </w:pPr>
      <w:r>
        <w:rPr>
          <w:rFonts w:ascii="Calibri" w:hAnsi="Calibri"/>
          <w:b/>
          <w:color w:val="4A6B25"/>
          <w:sz w:val="15"/>
        </w:rPr>
        <w:t xml:space="preserve">4. </w:t>
      </w:r>
      <w:r>
        <w:rPr>
          <w:rFonts w:ascii="Calibri" w:hAnsi="Calibri"/>
          <w:b w:val="0"/>
          <w:color w:val="3A4A28"/>
          <w:sz w:val="17"/>
        </w:rPr>
        <w:t>Fortive Corporate Website — Mission Statement, FBS Culture, AI Integration, Board Appointment of Gregory Moore (AI/Healthcare), fortive.com</w:t>
      </w:r>
    </w:p>
    <w:p>
      <w:pPr>
        <w:spacing w:before="20" w:after="20"/>
        <w:ind w:left="170"/>
      </w:pPr>
      <w:r>
        <w:rPr>
          <w:rFonts w:ascii="Calibri" w:hAnsi="Calibri"/>
          <w:b/>
          <w:color w:val="4A6B25"/>
          <w:sz w:val="15"/>
        </w:rPr>
        <w:t xml:space="preserve">5. </w:t>
      </w:r>
      <w:r>
        <w:rPr>
          <w:rFonts w:ascii="Calibri" w:hAnsi="Calibri"/>
          <w:b w:val="0"/>
          <w:color w:val="3A4A28"/>
          <w:sz w:val="17"/>
        </w:rPr>
        <w:t>SEC Form 4 Filings — James Lico insider transactions, $15.76M sale February 2025, $13M sale May 2025, Zero Open-Market Purchases in 5 Years</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FTV Key Statistics: Forward P/E ~20, PEG 3.34, D/E 57%, ROE 7.49%, Profit Margin 12.91%,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