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FULT</w:t>
      </w:r>
      <w:r>
        <w:rPr>
          <w:rFonts w:ascii="Calibri" w:hAnsi="Calibri"/>
          <w:b/>
          <w:color w:val="1A2010"/>
          <w:sz w:val="40"/>
        </w:rPr>
        <w:t xml:space="preserve">  Fulton Financial Corporation</w:t>
      </w:r>
    </w:p>
    <w:p>
      <w:pPr>
        <w:spacing w:after="120"/>
      </w:pPr>
      <w:r>
        <w:rPr>
          <w:rFonts w:ascii="Calibri" w:hAnsi="Calibri"/>
          <w:b/>
          <w:color w:val="6E8450"/>
          <w:sz w:val="18"/>
        </w:rPr>
        <w:t>DIVIDEND SLEEVE · 2026-09-11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Fulton Financial Corporation is a $34B-asset regional bank holding company operating Fulton Bank across Pennsylvania, New Jersey, Delaware, Maryland, and Virginia, offering commercial and consumer banking, wealth management, and insurance services. Q2 2026 net interest income reached $284.3M (+11.6% YoY) with net interest margin expanding to 3.6%, loans growing $1.7B to $25.9B and deposits growing $1.5B to $28.3B, following the completed Blue Foundry Bancorp acquisition that expanded Fulton's footprint into New Jersey [1].</w:t>
      </w:r>
    </w:p>
    <w:p>
      <w:r>
        <w:rPr>
          <w:rFonts w:ascii="Calibri" w:hAnsi="Calibri"/>
          <w:b/>
          <w:color w:val="6E8450"/>
          <w:sz w:val="18"/>
        </w:rPr>
        <w:t>3,500 Employees · https://www.fultonbank.com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(1/3): Fulton's growth strategy is a steady roll-up of smaller Mid-Atlantic banks, most recently completing the Blue Foundry Bancorp acquisition in 2026 to enter New Jersey — a modest, incremental extension of an existing footprint rather than a business-model transformation [1]. AI Deployment (0/2): No evidence was found of Fulton deploying AI-powered products or reporting quantified AI-driven cost savings; COO Kevin Gremer's mandate covers general digital-experience technology, not specific AI initiatives [2]. Market Share Leadership (1/2): At $34B in assets, Fulton is a meaningful but not category-leading Mid-Atlantic regional bank, competing against larger super-regionals without a demonstrated share-gain narrative. Product Pipeline (0/2): No next-generation product roadmap with specific timelines was found. R&amp;D Intensity (0/1): Not a meaningful disclosed metric for a community/regional bank of this size.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Fulton's stated mission to 'change lives for the better' through its 'Fulton Forward' community platform is more specific than pure boilerplate and is tied to visible programs, though it remains fairly standard community-bank purpose language rather than a deeply distinctive cause [3]. Community Impact (2/2): Fulton's decade-long partnership with Operation HOPE (since 2016) has generated nearly $1 billion in loans to low- and moderate-income homebuyers, more than $8 million in closing-cost-assistance grants, and financial-wellness coaches placed in six cities across its footprint — specific, quantified, and sustained community investment [3]. Employee Retention (0/2): No specific tenure or turnover data was found; CEO Curt Myers' 33-year internal career at Fulton is suggestive of internal career-path strength but is a single data point, not organization-wide retention evidence [2]. Insider Buying (0/2): No insider buying or selling data was found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(Dividend weighting). D/E of 50% is well under the 70% target (capped at 1.0). ROE of 11.10% is below the 15% target (score 0.74). Revenue growth of ~10.3% YoY (2025: $1.28B vs. 2024: $1.16B) and 5-year revenue CAGR of ~10.4% (2020: $781.7M to 2025: $1.28B) both clear the 10% target (capped at 1.0) [4]. Forward P/E of 10.49 is well under the 20 target (capped at 1.0), and profit margin of 29.74% comfortably clears the 20% target (capped at 1.0). On dividend metrics: payout ratio of 36.54% is under the 40% target (capped at 1.0); consecutive years paid (~36, dating to 1990) clears the 10-year target (capped at 1.0, 2x weight); consecutive years of dividend growth (2, following a reset earlier in the streak's history) falls well short of the 10-year target (score 0.20); and 5-year dividend growth CAGR of 6.30% clears the 6% target (capped at 1.0, 2x weight) [5]. Average daily volume of ~1.33M shares at $23.60 (~$31.3M/day) comfortably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Fulton Financial presents as a well-run, community-oriented regional bank rather than an infinite-game exemplar. Its 'change lives for the better' mission is given real substance through the decade-long Operation HOPE partnership generating nearly $1B in LMI home loans, but the company's growth model (steady bank-on-bank acquisitions) and leadership approach show no documented instance of costly, principled decision-making or transformative reinvention [1][3].</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'Change lives for the better,' operationalized through the 'Fulton Forward' platform and a decade-long Operation HOPE partnership (nearly $1B in LMI home loans, $8M+ in closing-cost grants), gives the mission real lived substance beyond a slogan, though it has not been tested through crisis or multi-decade consistency in a way that would elevate it further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Curt Myers' 33-year internal career culminating in his 2023 appointment suggests a functioning internal career path, but no organization-wide tenure, turnover, or psychological-safety data was found to substantiate a high-trust culture beyond this single data point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Fulton framing competition with larger Mid-Atlantic regional or super-regional banks in terms of learning or self-improvement; available commentary focuses on Fulton's own loan/deposit growth and the Blue Foundry integration.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Fulton's growth has come through a consistent strategy of acquiring smaller Mid-Atlantic banks (most recently Blue Foundry in New Jersey) rather than any fundamental reinvention of its community/commercial banking model; no evidence of a transformative strategic pivot was found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was found of Fulton's leadership sacrificing near-term earnings for long-term capability or walking away from profitable business lines; the visible strategy (disciplined bank M&amp;A, balance-sheet growth) is standard regional-bank execution rather than a documented instance of costly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Fulton Financial is a disciplined, well-capitalized Mid-Atlantic regional bank posting record operating results: Q2 2026 net interest income of $284.3M (+11.6% YoY), expanding net interest margin (3.6%), and $1.7B/$1.5B growth in loans and deposits respectively, aided by the completed Blue Foundry Bancorp acquisition extending Fulton into New Jersey [1]. Valuation is inexpensive at a Forward P/E of 10.5 and PEG of 0.55, the balance sheet is conservatively levered (D/E of 50%), and the 3.22% dividend yield is well-covered (36.5% payout ratio) with a 36-year unbroken payment history. The bank's Operation HOPE partnership (nearly $1B in LMI loans since 2016, $8M+ in grants) provides genuine, quantified community impact that supports the faith-alignment profile.</w:t>
      </w:r>
    </w:p>
    <w:p>
      <w:pPr>
        <w:spacing w:after="120"/>
      </w:pPr>
      <w:r>
        <w:rPr>
          <w:rFonts w:ascii="Calibri" w:hAnsi="Calibri"/>
          <w:b w:val="0"/>
          <w:color w:val="3A4A28"/>
          <w:sz w:val="20"/>
        </w:rPr>
        <w:t>The bear case is that Fulton is a steady, unexciting operator rather than a compounder: ROE of 11.10% trails the 15% target, dividend growth has only resumed for 2 consecutive years after an earlier reset, and no evidence of AI deployment, next-generation product pipeline, or market-share gains was found — this is a bank executing the standard regional playbook (organic loan growth plus periodic bank acquisitions) rather than differentiating itself [1][4]. Longer-term, retail banking functions remain exposed to AI-driven fintech and neobank competition that could pressure fee income and deposit relationships, a risk not yet reflected in analyst commentary on Fulton specifically. Integration risk from the Blue Foundry acquisition (execution, credit-quality overlap, systems integration) is a near-term watch item as Fulton digests its New Jersey expansion.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 realization of Blue Foundry Bancorp integration synergies and cross-sell opportunities in the new New Jersey footprint [1]</w:t>
      </w:r>
    </w:p>
    <w:p>
      <w:pPr>
        <w:spacing w:before="40" w:after="40"/>
        <w:ind w:left="283"/>
      </w:pPr>
      <w:r>
        <w:rPr>
          <w:rFonts w:ascii="Calibri" w:hAnsi="Calibri"/>
          <w:b/>
          <w:color w:val="4A6B25"/>
          <w:sz w:val="20"/>
        </w:rPr>
        <w:t xml:space="preserve">2. </w:t>
      </w:r>
      <w:r>
        <w:rPr>
          <w:rFonts w:ascii="Calibri" w:hAnsi="Calibri"/>
          <w:b w:val="0"/>
          <w:color w:val="3A4A28"/>
          <w:sz w:val="20"/>
        </w:rPr>
        <w:t>Continued net interest margin expansion (3.6% in Q2 2026) if the rate environment remains stable and deposit costs are managed effectively [1]</w:t>
      </w:r>
    </w:p>
    <w:p>
      <w:pPr>
        <w:spacing w:before="40" w:after="40"/>
        <w:ind w:left="283"/>
      </w:pPr>
      <w:r>
        <w:rPr>
          <w:rFonts w:ascii="Calibri" w:hAnsi="Calibri"/>
          <w:b/>
          <w:color w:val="4A6B25"/>
          <w:sz w:val="20"/>
        </w:rPr>
        <w:t xml:space="preserve">3. </w:t>
      </w:r>
      <w:r>
        <w:rPr>
          <w:rFonts w:ascii="Calibri" w:hAnsi="Calibri"/>
          <w:b w:val="0"/>
          <w:color w:val="3A4A28"/>
          <w:sz w:val="20"/>
        </w:rPr>
        <w:t>Resumption of a longer dividend-growth streak, building on the current 2-year run, as earnings capacity from loan/deposit growth compounds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ROE of 11.10% trails the 15% target, indicating profitability that lags higher-performing regional bank peers despite a conservative balance sheet</w:t>
      </w:r>
    </w:p>
    <w:p>
      <w:pPr>
        <w:spacing w:before="40" w:after="40"/>
        <w:ind w:left="283"/>
      </w:pPr>
      <w:r>
        <w:rPr>
          <w:rFonts w:ascii="Calibri" w:hAnsi="Calibri"/>
          <w:b/>
          <w:color w:val="4A6B25"/>
          <w:sz w:val="20"/>
        </w:rPr>
        <w:t xml:space="preserve">2. </w:t>
      </w:r>
      <w:r>
        <w:rPr>
          <w:rFonts w:ascii="Calibri" w:hAnsi="Calibri"/>
          <w:b w:val="0"/>
          <w:color w:val="3A4A28"/>
          <w:sz w:val="20"/>
        </w:rPr>
        <w:t>Integration execution risk from the Blue Foundry Bancorp acquisition as Fulton absorbs a new New Jersey franchise and systems</w:t>
      </w:r>
    </w:p>
    <w:p>
      <w:pPr>
        <w:spacing w:before="40" w:after="40"/>
        <w:ind w:left="283"/>
      </w:pPr>
      <w:r>
        <w:rPr>
          <w:rFonts w:ascii="Calibri" w:hAnsi="Calibri"/>
          <w:b/>
          <w:color w:val="4A6B25"/>
          <w:sz w:val="20"/>
        </w:rPr>
        <w:t xml:space="preserve">3. </w:t>
      </w:r>
      <w:r>
        <w:rPr>
          <w:rFonts w:ascii="Calibri" w:hAnsi="Calibri"/>
          <w:b w:val="0"/>
          <w:color w:val="3A4A28"/>
          <w:sz w:val="20"/>
        </w:rPr>
        <w:t>No evidence of differentiated technology, AI adoption, or market-share gains found — longer-term exposure to AI-driven fintech competition in retail banking and deposit-gathering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Fulton's commercial and relationship-based banking model benefits from regulatory licensing, FDIC-insured deposit relationships, and local-market trust that AI cannot directly replicate, but retail banking functions (customer service, basic underwriting, account servicing) face real longer-term substitution risk from AI-driven fintech and neobank competitors, and no analyst commentary was found specifically flagging or dismissing this risk for Fulton [1][2]. AI Opportunity (0/1): No evidence of quantifiable AI-related revenue or products was found.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Fulton Financial Corporation Q2 2026 Results — Net interest income $284.3M (+11.6% YoY), NIM 3.6%, loans $25.9B, deposits $28.3B, Blue Foundry integration — investor.fultonbank.com, Yahoo Finance, TradingView, PRNewswire, 2026</w:t>
      </w:r>
    </w:p>
    <w:p>
      <w:pPr>
        <w:spacing w:before="20" w:after="20"/>
        <w:ind w:left="170"/>
      </w:pPr>
      <w:r>
        <w:rPr>
          <w:rFonts w:ascii="Calibri" w:hAnsi="Calibri"/>
          <w:b/>
          <w:color w:val="4A6B25"/>
          <w:sz w:val="15"/>
        </w:rPr>
        <w:t xml:space="preserve">2. </w:t>
      </w:r>
      <w:r>
        <w:rPr>
          <w:rFonts w:ascii="Calibri" w:hAnsi="Calibri"/>
          <w:b w:val="0"/>
          <w:color w:val="3A4A28"/>
          <w:sz w:val="17"/>
        </w:rPr>
        <w:t>Fulton Financial leadership — CEO Curt Myers (33-year internal tenure, appointed 2023), COO Kevin Gremer technology/operations focus — Simply Wall St, LVB,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Fulton Bank community impact — 'Change lives for the better' mission, Fulton Forward platform, Operation HOPE partnership (~$1B in LMI loans since 2016, $8M+ in grants) — FultonBank.com,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Fulton Financial Corporation annual revenue history (2020-2025) — StockAnalysis.com,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FULT key statistics and dividend history (36-year payment history since 1990, 2-year current growth streak, 6.30% 5yr dividend CAGR),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