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FUL</w:t>
      </w:r>
      <w:r>
        <w:rPr>
          <w:rFonts w:ascii="Calibri" w:hAnsi="Calibri"/>
          <w:b/>
          <w:color w:val="1A2010"/>
          <w:sz w:val="40"/>
        </w:rPr>
        <w:t xml:space="preserve">  H.B. Fuller Company</w:t>
      </w:r>
    </w:p>
    <w:p>
      <w:pPr>
        <w:spacing w:after="120"/>
      </w:pPr>
      <w:r>
        <w:rPr>
          <w:rFonts w:ascii="Calibri" w:hAnsi="Calibri"/>
          <w:b/>
          <w:color w:val="6E8450"/>
          <w:sz w:val="18"/>
        </w:rPr>
        <w:t>GROWTH SLEEVE · 2026-10-07 · Inspire: 74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NYSE · United States</w:t>
      </w:r>
    </w:p>
    <w:p>
      <w:pPr>
        <w:spacing w:after="80"/>
      </w:pPr>
      <w:r>
        <w:rPr>
          <w:rFonts w:ascii="Calibri" w:hAnsi="Calibri"/>
          <w:b w:val="0"/>
          <w:color w:val="3A4A28"/>
          <w:sz w:val="20"/>
        </w:rPr>
        <w:t>H.B. Fuller Company formulates, manufactures, and markets adhesives, sealants, coatings, polymers, tapes, encapsulants, and other specialty chemical products worldwide. It operates through three segments: Hygiene, Health and Consumable Adhesives; Engineering Adhesives; and Construction Adhesives. The company serves packaging, electronics, clean energy, aerospace, automotive, and construction markets across North America, Latin America, Europe, and Asia Pacific. Founded in 1887 and headquartered in Saint Paul, Minnesota.</w:t>
      </w:r>
    </w:p>
    <w:p>
      <w:r>
        <w:rPr>
          <w:rFonts w:ascii="Calibri" w:hAnsi="Calibri"/>
          <w:b/>
          <w:color w:val="6E8450"/>
          <w:sz w:val="18"/>
        </w:rPr>
        <w:t>7,100 Employees · https://www.hbfuller.com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(2/3): H.B. Fuller has executed strategic acquisitions to expand its Engineering Adhesives segment into high-growth end markets including electric vehicles, clean energy, and aerospace, while launching sustainable adhesive alternatives for packaging applications [1][5]. However, core revenue has been essentially flat over 4 years ($3.75B in FY2022 to $3.47B in FY2025), limiting the transformative impact. AI Deployment (0/2): No AI-powered products or quantified AI-driven operational savings disclosed in earnings calls or filings [1]. Market Share Leadership (1/2): H.B. Fuller is a top-3 global adhesives manufacturer, competing with Henkel and Sika, with particular strength in hygiene and engineering adhesives markets [5]. Not a dominant leader but a meaningful global player with $3.5B+ in annual revenue. Product Pipeline (1/2): Active development in EV battery adhesives, sustainable packaging solutions, and insulating glass applications, but no specific next-generation products announced with launch dates and revenue visibility [1]. R&amp;D Intensity (0/1): R&amp;D spending of $62.2M on $3.47B revenue (1.8% of sales) in FY2025 is below the specialty chemicals industry average of 2-4% [6].</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H.B. Fuller's purpose statement 'We connect what matters' ties the company's adhesive products to a broader human purpose, showing intentionality beyond generic corporate language [5]. The tagline is clear and memorable but does not articulate a vision of a future state or inspire beyond the product category. Community &amp; Charitable Impact (1/2): The H.B. Fuller Foundation supports community investment programs, and the company has published sustainability reports with specific environmental targets — 20% reduction in energy and GHG emissions intensity by 2025 versus a 2014 baseline, with progress reported as ahead of schedule on water and waste metrics [3]. Employee Retention (0/2): No specific retention, tenure, or turnover data available in public filings. Glassdoor rates culture at 3.9/5 but employee reviews cite mixed management effectiveness [4].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 calculation using Growth sleeve metrics yields 6/10. Strengths include an attractive Forward P/E of 9.77 (score 1.0) and manageable D/E of 100.9% (score 0.87) [2]. Weaknesses include thin profit margins at 5.6% (score 0.28) and ROE of 9.6% (score 0.64), both reflecting the capital-intensive nature of specialty chemical manufacturing [2]. Forward PEG of 2.2 scores 0.40, suggesting the stock is fairly valued but not cheap relative to growth expectations. Revenue growth of 5.2% YoY in Q3 2026 is an improvement driven by 7.4% pricing gains, though volume declined [1]. FY2026 guidance projects adjusted EPS of $4.70-$4.85 and EBITDA of $655-$670M [1]. Total debt of $2.19B against $97M cash represents significant leverage for a mid-cap company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H.B. Fuller's 139-year history of continuous operation in adhesives demonstrates remarkable endurance through world wars, economic crises, and industry transformations — the hallmark of a company that plays to keep playing [5]. The 35 consecutive years of dividend increases signal a commitment to long-term shareholder stewardship. However, the company's evolution has been incremental rather than transformative, and the purpose of 'connecting what matters' has not been tested by a crisis that demanded existential flexibility. Management has shown discipline in pricing (7.4% pricing gains in Q3 2026) even at the cost of near-term volume [1], suggesting long-term orientation over quarterly optimization.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H.B. Fuller's purpose 'We connect what matters' is genuine and partially lived — it connects the company's adhesive products to a broader human purpose and is reinforced by 139 years of consistent focus on bonding and adhesion technology [5]. The company has maintained this identity through multiple market cycles and leadership transitions. However, the purpose has not been tested by a transformative crisis demanding strategic departure, and it reads more as a well-crafted tagline than a vision of a future state that does not yet exist.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H.B. Fuller's 139-year operating history requires a stable organizational foundation. Glassdoor employee reviews describe a 'good company overall' with rising workplace sentiment (culture ratings up 2% over the past year) [4]. However, HR receives a C- rating from employees, suggesting gaps in people management. CEO Celeste Mastin's leadership is generally well-received with 84% approval. The organization appears adequate on trust metrics without evidence of exceptional empowerment or cultural distinction.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H.B. Fuller competes against Henkel, Sika, and 3M in global adhesives markets but public materials focus on the company's own strategic initiatives rather than acknowledging competitors' strengths or framing competition as a catalyst for self-improvement [5]. No evidence of the company's leadership referencing worthy rivals or learning from competitive dynamics in earnings calls or investor presentations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H.B. Fuller has evolved incrementally within its adhesive domain — expanding from commodity industrial adhesives into engineering adhesives for electronics, EV batteries, and aerospace [5]. Strategic acquisitions (including Royal Adhesives in 2017) expanded capabilities and end-market exposure. These represent meaningful business model evolution but not transformative reinvention. The company has never abandoned a core business or made a bet that fundamentally redefined its identity [1]. Incremental adaptation, not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Management demonstrated pricing courage in Q3 2026, raising prices 7.4% and accepting lower volumes rather than competing on price — a decision that drove 21% adjusted EPS growth and 80bps of margin expansion [1]. The company invested $62M in R&amp;D during a period of revenue contraction, maintaining capability investment despite near-term pressure [6]. Strategic acquisitions in Engineering Adhesives expanded into EV and clean energy markets, betting on secular growth trends. One example of long-term investment over short-term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H.B. Fuller offers a compelling value proposition as a specialty chemicals compounder with a Forward P/E of 9.77 — a significant discount to specialty chemical peers — and strong pricing power demonstrated by Q3 2026 results showing 7.4% pricing gains driving 21% adjusted EPS growth to $1.52 [1][2]. The Engineering Adhesives segment positions the company at the intersection of secular growth themes (EVs, clean energy, aerospace) while the Hygiene/Health segment provides defensive stability. FY2026 guidance of $4.70-$4.85 adjusted EPS and $655-$670M EBITDA implies continued margin expansion. The 35-year dividend growth streak and 1.94% yield provide a modest but reliable income component.</w:t>
      </w:r>
    </w:p>
    <w:p>
      <w:pPr>
        <w:spacing w:after="120"/>
      </w:pPr>
      <w:r>
        <w:rPr>
          <w:rFonts w:ascii="Calibri" w:hAnsi="Calibri"/>
          <w:b w:val="0"/>
          <w:color w:val="3A4A28"/>
          <w:sz w:val="20"/>
        </w:rPr>
        <w:t>The bear case centers on flat-to-declining revenue over the last four years ($3.75B FY2022 to $3.47B FY2025), suggesting volume headwinds that pricing alone cannot permanently offset [2][6]. Thin profit margins of 5.6% leave little room for error, and total debt of $2.19B against $97M cash represents meaningful leverage for a $2.7B market cap company. ROE of 9.6% is below the cost of capital for many investors, indicating the company is not generating excess returns on its asset base. The stock trades 26% below its 52-week high of $68.63, reflecting market concerns about organic growth sustainability and raw material cost pressure in the specialty chemicals industry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Engineering Adhesives segment growth driven by electric vehicle battery bonding, clean energy assembly, and aerospace applications expanding the company's addressable market [1][5]</w:t>
      </w:r>
    </w:p>
    <w:p>
      <w:pPr>
        <w:spacing w:before="40" w:after="40"/>
        <w:ind w:left="283"/>
      </w:pPr>
      <w:r>
        <w:rPr>
          <w:rFonts w:ascii="Calibri" w:hAnsi="Calibri"/>
          <w:b/>
          <w:color w:val="4A6B25"/>
          <w:sz w:val="20"/>
        </w:rPr>
        <w:t xml:space="preserve">2. </w:t>
      </w:r>
      <w:r>
        <w:rPr>
          <w:rFonts w:ascii="Calibri" w:hAnsi="Calibri"/>
          <w:b w:val="0"/>
          <w:color w:val="3A4A28"/>
          <w:sz w:val="20"/>
        </w:rPr>
        <w:t>Continued pricing discipline yielding margin expansion toward the FY2026 EBITDA guidance range of $655-$670M, with potential for sustained 20%+ EBITDA margins [1]</w:t>
      </w:r>
    </w:p>
    <w:p>
      <w:pPr>
        <w:spacing w:before="40" w:after="40"/>
        <w:ind w:left="283"/>
      </w:pPr>
      <w:r>
        <w:rPr>
          <w:rFonts w:ascii="Calibri" w:hAnsi="Calibri"/>
          <w:b/>
          <w:color w:val="4A6B25"/>
          <w:sz w:val="20"/>
        </w:rPr>
        <w:t xml:space="preserve">3. </w:t>
      </w:r>
      <w:r>
        <w:rPr>
          <w:rFonts w:ascii="Calibri" w:hAnsi="Calibri"/>
          <w:b w:val="0"/>
          <w:color w:val="3A4A28"/>
          <w:sz w:val="20"/>
        </w:rPr>
        <w:t>Attractive valuation at 9.77x forward earnings — a significant discount to specialty chemicals peers — creates rerating potential if organic volume growth returns to positive territory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Four consecutive years of flat-to-declining revenue ($3.75B FY2022 to $3.47B FY2025) driven by volume weakness across segments, with pricing gains masking underlying demand deterioration [2][6]</w:t>
      </w:r>
    </w:p>
    <w:p>
      <w:pPr>
        <w:spacing w:before="40" w:after="40"/>
        <w:ind w:left="283"/>
      </w:pPr>
      <w:r>
        <w:rPr>
          <w:rFonts w:ascii="Calibri" w:hAnsi="Calibri"/>
          <w:b/>
          <w:color w:val="4A6B25"/>
          <w:sz w:val="20"/>
        </w:rPr>
        <w:t xml:space="preserve">2. </w:t>
      </w:r>
      <w:r>
        <w:rPr>
          <w:rFonts w:ascii="Calibri" w:hAnsi="Calibri"/>
          <w:b w:val="0"/>
          <w:color w:val="3A4A28"/>
          <w:sz w:val="20"/>
        </w:rPr>
        <w:t>Elevated leverage with $2.19B total debt and D/E of 101% constrains financial flexibility and amplifies downside risk in a cyclical slowdown [2]</w:t>
      </w:r>
    </w:p>
    <w:p>
      <w:pPr>
        <w:spacing w:before="40" w:after="40"/>
        <w:ind w:left="283"/>
      </w:pPr>
      <w:r>
        <w:rPr>
          <w:rFonts w:ascii="Calibri" w:hAnsi="Calibri"/>
          <w:b/>
          <w:color w:val="4A6B25"/>
          <w:sz w:val="20"/>
        </w:rPr>
        <w:t xml:space="preserve">3. </w:t>
      </w:r>
      <w:r>
        <w:rPr>
          <w:rFonts w:ascii="Calibri" w:hAnsi="Calibri"/>
          <w:b w:val="0"/>
          <w:color w:val="3A4A28"/>
          <w:sz w:val="20"/>
        </w:rPr>
        <w:t>Thin 5.6% profit margin and 9.6% ROE suggest limited pricing power beyond temporary pass-through dynamics and insufficient returns on invested capital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H.B. Fuller's core business — formulating, manufacturing, and selling physical adhesive and sealant products — is structurally protected from AI disruption [5]. Adhesives are specified into customers' manufacturing processes with high switching costs, and the physical chemistry of bonding solutions cannot be replicated by software. AI may accelerate materials science research for competitors, but H.B. Fuller's 139-year formulation expertise and customer-specific application engineering create defensible barriers. The company's end markets (packaging, automotive, construction, electronics) require physical bonding solutions regardless of AI advancement. AI Opportunity (0/1): No AI-derived revenue. The company has not disclosed AI integration into R&amp;D processes or manufacturing operations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H.B. Fuller Q3 FY2026 Earnings Release and Earnings Call, September 23,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FUL key statistics,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H.B. Fuller 2023 Sustainability Report — hbfuller.com</w:t>
      </w:r>
    </w:p>
    <w:p>
      <w:pPr>
        <w:spacing w:before="20" w:after="20"/>
        <w:ind w:left="170"/>
      </w:pPr>
      <w:r>
        <w:rPr>
          <w:rFonts w:ascii="Calibri" w:hAnsi="Calibri"/>
          <w:b/>
          <w:color w:val="4A6B25"/>
          <w:sz w:val="15"/>
        </w:rPr>
        <w:t xml:space="preserve">4. </w:t>
      </w:r>
      <w:r>
        <w:rPr>
          <w:rFonts w:ascii="Calibri" w:hAnsi="Calibri"/>
          <w:b w:val="0"/>
          <w:color w:val="3A4A28"/>
          <w:sz w:val="17"/>
        </w:rPr>
        <w:t>Glassdoor — H.B. Fuller employee reviews (404 reviews),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H.B. Fuller Company — hbfuller.com, company overview and mission, accessed October 2026</w:t>
      </w:r>
    </w:p>
    <w:p>
      <w:pPr>
        <w:spacing w:before="20" w:after="20"/>
        <w:ind w:left="170"/>
      </w:pPr>
      <w:r>
        <w:rPr>
          <w:rFonts w:ascii="Calibri" w:hAnsi="Calibri"/>
          <w:b/>
          <w:color w:val="4A6B25"/>
          <w:sz w:val="15"/>
        </w:rPr>
        <w:t xml:space="preserve">6. </w:t>
      </w:r>
      <w:r>
        <w:rPr>
          <w:rFonts w:ascii="Calibri" w:hAnsi="Calibri"/>
          <w:b w:val="0"/>
          <w:color w:val="3A4A28"/>
          <w:sz w:val="17"/>
        </w:rPr>
        <w:t>H.B. Fuller 10-Q, Q3 FY2026 (August 31, 2026), SEC Filing</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