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FUSE</w:t>
      </w:r>
      <w:r>
        <w:rPr>
          <w:rFonts w:ascii="Calibri" w:hAnsi="Calibri"/>
          <w:b/>
          <w:color w:val="1A2010"/>
          <w:sz w:val="40"/>
        </w:rPr>
        <w:t xml:space="preserve">  Fusemachines Inc.</w:t>
      </w:r>
    </w:p>
    <w:p>
      <w:pPr>
        <w:spacing w:after="120"/>
      </w:pPr>
      <w:r>
        <w:rPr>
          <w:rFonts w:ascii="Calibri" w:hAnsi="Calibri"/>
          <w:b/>
          <w:color w:val="6E8450"/>
          <w:sz w:val="18"/>
        </w:rPr>
        <w:t>GROWTH SLEEVE · 2026-08-31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Fusemachines Inc. develops and delivers artificial intelligence as a service and machine learning software solutions. Products include AI Studio, AI Engines, AI Agents, and the Interview Agent for automated hiring. The company also operates the Fusemachines AI Fellowship program for underserved communities. Founded in 2013 by Dr. Sameer Maskey (Columbia University AI researcher), listed on NASDAQ in October 2025 through a SPAC merger. FY2025 revenue of $7.71M (-12.45% YoY) with gross margin of 55.5% but EBITDA of -$7.58M. CEO Maskey highlighted agentic AI as the key growth vector for 2026, and Dr. Julia Hirschberg was appointed to the board in June 2026 to advance responsible AI governance.</w:t>
      </w:r>
    </w:p>
    <w:p>
      <w:r>
        <w:rPr>
          <w:rFonts w:ascii="Calibri" w:hAnsi="Calibri"/>
          <w:b/>
          <w:color w:val="6E8450"/>
          <w:sz w:val="18"/>
        </w:rPr>
        <w:t>270 Employees · https://fusemachines.com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Fusemachines has operated since 2013 but listed on NASDAQ only in October 2025 via SPAC merger, with no meaningful product launches or business model transformations — revenue declined 12.5% YoY to $7.7M in 2025 and Q1 2026 revenue of $1.88M fell a further 3.8% YoY, demonstrating continued contraction rather than innovation-driven growth [1]. AI Deployment (2/2): AI is the company's entire product — Fuse Anna, Fuse Prospector, AI Studio, and AI Engines are shipping AI products serving enterprise customers in government, financial services, and e-commerce, generating 55.8% gross margins on AI-as-a-service delivery [1]. Market Share (0/2): With $7.6M in TTM revenue and a $30M market cap, Fusemachines is a negligible player in the enterprise AI market dominated by Microsoft, Google, AWS, Accenture, and dozens of well-funded AI startups [1]. Pipeline (1/2): The company outlined a four-pillar 2026 growth strategy targeting retail and real estate verticals, and the June 2026 board appointment of Dr. Julia Hirschberg (Columbia NLP expert) strengthens AI product direction [2][3]. R&amp;D Intensity (0/1): No R&amp;D spending data disclosed; negative operating margins of -77% make R&amp;D intensity assessment impossible.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Fusemachines' mission to 'put AI in everyone's hands' and #DemocratizeAI is clear and connects the company's work to broader AI accessibility, but the phrase has become ubiquitous in the AI industry — virtually every AI startup claims to democratize AI, making it undifferentiated despite genuine intent [2]. Community Impact (1/2): The Fusemachines AI Fellowship program trains scholars from underserved communities (particularly in Nepal, India, and Cuba) in AI/ML skills, representing distinctive social impact aligned with the democratization mission, though scale is limited by the company's $7.6M revenue base [2]. Employee Retention (0/2): No employee tenure, turnover, or retention data available for this 270-person micro-cap company. Insider Buying (0/2): No meaningful insider transaction data available; the company recently completed its SPAC listing in October 2025 with limited post-listing trading history.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76,160 shares x $1.05 stock price = $79,968 daily dollar volume, far below the $1,000,000 minimum threshold — Infrastructure score forced to 0 regardless of other metrics [1]. Underlying financials are also deeply challenged: TTM revenue of $7.64M with -20.25% profit margin and -77.2% operating margin indicate the company burns significantly more than it earns. Shares outstanding surged 143% YoY, reflecting severe dilution. The Altman Z-Score of -15.64 indicates extreme bankruptcy risk. Nasdaq issued deficiency notices in March 2026 with a September 23, 2026 compliance deadline, creating near-term delisting risk [1]. The stock has collapsed from its October 2025 SPAC-listing high of $25.00 to $1.05, a 96%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Fusemachines shows finite game characteristics typical of a micro-cap SPAC-listed company in survival mode. Revenue is declining, the company faces Nasdaq delisting risk, and share dilution of 143% YoY suggests financial engineering takes priority over long-term strategic consistency. The AI Fellowship program hints at purpose beyond profit, but the company's 96% stock decline and revenue contraction indicate the immediate focus is existential survival rather than playing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'democratize AI' mission has genuine aspiration — connecting AI skills to underserved communities through the Fellowship program in Nepal, India, and Cuba shows it's more than marketing [2]. CEO Dr. Maskey's statement that 'talent exists everywhere but opportunities do not' reflects a cause that extends beyond profit. However, this cause is shared by dozens of AI companies, has not been validated through crisis or sustained execution, and the company's declining revenue and delisting risk suggest the cause may be subordinated to survival imperatives.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trust, employee empowerment, or cultural health. The 270-person company operates across New York, Nepal, Canada, India, and Cuba, making cohesive trust culture challenging at this scale [2]. No Glassdoor reviews found, no retention data available, and the SPAC transition process combined with 143% share dilution creates organizational uncertainty that typically erodes employee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With $7.6M in revenue competing against hyperscalers with billions in AI investment, the competitive framing appears to be niche survival rather than learning from worthy rivals. The 2026 strategy focuses on niche verticals (retail, real estate) which may reflect strategic realism about where to compete, but no evidence of management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has not demonstrated existential flexibility — it has operated in AI services since founding in 2013, and the recent vertical focus on retail and real estate represents incremental repositioning rather than transformative change [2]. The SPAC listing was a financing event, not a strategic pivot. The company is too early-stage and too financially constrained to have faced the kind of existential choice that tests flexibility in the Sinek sense.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clear evidence of courageous leadership decisions that sacrificed near-term results for long-term capability. CEO Maskey's decision to leave IBM Watson to found Fusemachines shows entrepreneurial courage, but the company's subsequent 96% stock decline from SPAC listing, 143% share dilution, and Nasdaq compliance risk suggest the listing structure may not have served long-term shareholder interests [1]. The AI Fellowship program demonstrates values-driven leadership but without costly strategic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Fusemachines is a micro-cap AI-as-a-service company with a distinctive mission to #DemocratizeAI by training and deploying AI talent from underserved communities globally [2]. CEO Dr. Sameer Maskey's Columbia University AI background provides technical credibility, and the June 2026 appointment of Dr. Julia Hirschberg (Columbia NLP expert) to the board strengthens governance [3]. The company's products — Fuse Anna, Fuse Prospector, AI Studio, and AI Engines — serve enterprise customers at 55.8% gross margins, and the 2026 vertical strategy targeting retail and real estate could provide focus for growth. The AI Fellowship program represents genuine social impact that differentiates from commodity AI service providers.</w:t>
      </w:r>
    </w:p>
    <w:p>
      <w:pPr>
        <w:spacing w:after="120"/>
      </w:pPr>
      <w:r>
        <w:rPr>
          <w:rFonts w:ascii="Calibri" w:hAnsi="Calibri"/>
          <w:b w:val="0"/>
          <w:color w:val="3A4A28"/>
          <w:sz w:val="20"/>
        </w:rPr>
        <w:t>The bear case is existential. Revenue declined 12.5% YoY to $7.7M in 2025, with Q1 2026 showing continued deterioration at $1.88M (down 3.8% YoY) [1]. The company operates at -20.25% net margin and -77.2% operating margin, burning cash with no profitability timeline. Shares outstanding surged 143% YoY, severely diluting existing shareholders. The stock has collapsed 96% from its October 2025 SPAC-listing high of $25.00 to $1.05, and daily trading volume has dried up to just 76,160 shares ($79,968 daily dollar volume), failing the IOWN liquidity floor by an order of magnitude [1]. Nasdaq issued deficiency notices in March 2026 with compliance required by September 2026, creating near-term delisting risk. The Altman Z-Score of -15.64 indicates extreme bankruptcy probability. Fusemachines competes against Microsoft, Google, and AWS with orders of magnitude more resources — at $7.6M revenue, the company is immaterial in enterprise 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vertical strategy in retail and real estate, with potential to demonstrate product-market fit and reverse the revenue decline trajectory through focused go-to-market</w:t>
      </w:r>
    </w:p>
    <w:p>
      <w:pPr>
        <w:spacing w:before="40" w:after="40"/>
        <w:ind w:left="283"/>
      </w:pPr>
      <w:r>
        <w:rPr>
          <w:rFonts w:ascii="Calibri" w:hAnsi="Calibri"/>
          <w:b/>
          <w:color w:val="4A6B25"/>
          <w:sz w:val="20"/>
        </w:rPr>
        <w:t xml:space="preserve">2. </w:t>
      </w:r>
      <w:r>
        <w:rPr>
          <w:rFonts w:ascii="Calibri" w:hAnsi="Calibri"/>
          <w:b w:val="0"/>
          <w:color w:val="3A4A28"/>
          <w:sz w:val="20"/>
        </w:rPr>
        <w:t>Board appointment of Dr. Julia Hirschberg (Columbia University NLP authority) strengthens AI product direction and governance, potentially opening enterprise relationship pathways</w:t>
      </w:r>
    </w:p>
    <w:p>
      <w:pPr>
        <w:spacing w:before="40" w:after="40"/>
        <w:ind w:left="283"/>
      </w:pPr>
      <w:r>
        <w:rPr>
          <w:rFonts w:ascii="Calibri" w:hAnsi="Calibri"/>
          <w:b/>
          <w:color w:val="4A6B25"/>
          <w:sz w:val="20"/>
        </w:rPr>
        <w:t xml:space="preserve">3. </w:t>
      </w:r>
      <w:r>
        <w:rPr>
          <w:rFonts w:ascii="Calibri" w:hAnsi="Calibri"/>
          <w:b w:val="0"/>
          <w:color w:val="3A4A28"/>
          <w:sz w:val="20"/>
        </w:rPr>
        <w:t>Path to profitability — gross margins of 55.8% suggest the model could work at scale; achieving operating margin breakeven would fundamentally transform the investment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declining 12.5% YoY with continued Q1 2026 deterioration at -3.8%, negative operating margins of -77.2%, and Altman Z-Score of -15.64 indicate existential financial risk with no clear path to profitability</w:t>
      </w:r>
    </w:p>
    <w:p>
      <w:pPr>
        <w:spacing w:before="40" w:after="40"/>
        <w:ind w:left="283"/>
      </w:pPr>
      <w:r>
        <w:rPr>
          <w:rFonts w:ascii="Calibri" w:hAnsi="Calibri"/>
          <w:b/>
          <w:color w:val="4A6B25"/>
          <w:sz w:val="20"/>
        </w:rPr>
        <w:t xml:space="preserve">2. </w:t>
      </w:r>
      <w:r>
        <w:rPr>
          <w:rFonts w:ascii="Calibri" w:hAnsi="Calibri"/>
          <w:b w:val="0"/>
          <w:color w:val="3A4A28"/>
          <w:sz w:val="20"/>
        </w:rPr>
        <w:t>Nasdaq deficiency notice with September 23, 2026 compliance deadline creates near-term delisting risk; stock at $1.05 with daily dollar volume of $80K fails the IOWN liquidity floor, making the stock essentially untradeable</w:t>
      </w:r>
    </w:p>
    <w:p>
      <w:pPr>
        <w:spacing w:before="40" w:after="40"/>
        <w:ind w:left="283"/>
      </w:pPr>
      <w:r>
        <w:rPr>
          <w:rFonts w:ascii="Calibri" w:hAnsi="Calibri"/>
          <w:b/>
          <w:color w:val="4A6B25"/>
          <w:sz w:val="20"/>
        </w:rPr>
        <w:t xml:space="preserve">3. </w:t>
      </w:r>
      <w:r>
        <w:rPr>
          <w:rFonts w:ascii="Calibri" w:hAnsi="Calibri"/>
          <w:b w:val="0"/>
          <w:color w:val="3A4A28"/>
          <w:sz w:val="20"/>
        </w:rPr>
        <w:t>143% YoY share dilution and 96% stock price decline from SPAC-listing high destroy shareholder value; competition from hyperscalers with billions in AI investment makes Fusemachines' $7.6M revenue base immaterial in the enterprise AI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Fusemachines occupies a paradoxical position — as a pure-play AI services company, AI is both its product and its existential threat. The company's AI-as-a-service model faces direct substitution risk from massively better-funded competitors (Microsoft Copilot, Google Vertex AI, AWS Bedrock) integrating AI capabilities into existing enterprise platforms at scale [1]. Low-code and no-code AI platforms could reduce demand for custom AI consulting services. Fusemachines' differentiation through AI talent training (Fellowship program) and vertical-specific solutions for retail and real estate provides some defensibility, but switching costs are low and proprietary moats are thin at $7.6M revenue scale [2]. AI Opportunity (1/1): The company's entire TTM revenue of $7.64M is AI-derived — Fuse Anna, Fuse Prospector, AI Studio, and AI Engines are all AI products and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StockAnalysis.com and Yahoo Finance — FUSE financial data, $7.71M FY2025 revenue (-12.45% YoY), 76,160 avg daily volume, Nasdaq deficiency notice with September 23, 2026 compliance deadline, accessed August 2026</w:t>
      </w:r>
    </w:p>
    <w:p>
      <w:pPr>
        <w:spacing w:before="20" w:after="20"/>
        <w:ind w:left="170"/>
      </w:pPr>
      <w:r>
        <w:rPr>
          <w:rFonts w:ascii="Calibri" w:hAnsi="Calibri"/>
          <w:b/>
          <w:color w:val="4A6B25"/>
          <w:sz w:val="15"/>
        </w:rPr>
        <w:t xml:space="preserve">2. </w:t>
      </w:r>
      <w:r>
        <w:rPr>
          <w:rFonts w:ascii="Calibri" w:hAnsi="Calibri"/>
          <w:b w:val="0"/>
          <w:color w:val="3A4A28"/>
          <w:sz w:val="17"/>
        </w:rPr>
        <w:t>Fusemachines corporate website — AI products, AI Fellowship program, #DemocratizeAI mission, CEO Dr. Sameer Maskey background, fusemachines.com</w:t>
      </w:r>
    </w:p>
    <w:p>
      <w:pPr>
        <w:spacing w:before="20" w:after="20"/>
        <w:ind w:left="170"/>
      </w:pPr>
      <w:r>
        <w:rPr>
          <w:rFonts w:ascii="Calibri" w:hAnsi="Calibri"/>
          <w:b/>
          <w:color w:val="4A6B25"/>
          <w:sz w:val="15"/>
        </w:rPr>
        <w:t xml:space="preserve">3. </w:t>
      </w:r>
      <w:r>
        <w:rPr>
          <w:rFonts w:ascii="Calibri" w:hAnsi="Calibri"/>
          <w:b w:val="0"/>
          <w:color w:val="3A4A28"/>
          <w:sz w:val="17"/>
        </w:rPr>
        <w:t>Fusemachines Board Appointment — Dr. Julia Hirschberg named to Board of Directors effective June 1, 2026, SEC Form 8-K</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