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FWONK</w:t>
      </w:r>
      <w:r>
        <w:rPr>
          <w:rFonts w:ascii="Calibri" w:hAnsi="Calibri"/>
          <w:b/>
          <w:color w:val="1A2010"/>
          <w:sz w:val="40"/>
        </w:rPr>
        <w:t xml:space="preserve">  Formula One Group</w:t>
      </w:r>
    </w:p>
    <w:p>
      <w:pPr>
        <w:spacing w:after="120"/>
      </w:pPr>
      <w:r>
        <w:rPr>
          <w:rFonts w:ascii="Calibri" w:hAnsi="Calibri"/>
          <w:b/>
          <w:color w:val="6E8450"/>
          <w:sz w:val="18"/>
        </w:rPr>
        <w:t>GROWTH SLEEVE · 2026-09-12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Formula One Group, a tracking stock of Liberty Media Corporation, holds the commercial rights to the FIA Formula One World Championship and also owns MotoGP, the F2 and F3 feeder series, and F1 Academy. The company generates revenue from race promotion fees, broadcast rights, sponsorship, and the F1 Paddock Club hospitality program across a global race calendar. Full-year 2025 F1 revenue grew 14% to $3.9B, and Q1 2026 revenue surged 53% to $617M. Fan attendance reached 6.75M (+4%) with live viewership up 21%. Liberty Media acquired F1 in 2017; headquartered in Englewood, Colorado.</w:t>
      </w:r>
    </w:p>
    <w:p>
      <w:r>
        <w:rPr>
          <w:rFonts w:ascii="Calibri" w:hAnsi="Calibri"/>
          <w:b/>
          <w:color w:val="6E8450"/>
          <w:sz w:val="18"/>
        </w:rPr>
        <w:t>https://www.libertymedia.com/formula-one-group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Liberty Media's Netflix 'Drive to Survive' strategy and US market expansion (Las Vegas GP) have been widely credited with growing F1's global commercial value; full-year 2025 F1 revenue grew 14% to $3.9B with operating income up 28% to $632M, and Q1 2026 revenue surged 53% to $617M with Adjusted OIBDA more than doubling to $172M [1]. AI Deployment (2/2): Eight new AI partnerships were signed in a six-month span, and AWS's F1 Insights platform runs named production tools — Tyre Performance Predictor, Pit Stop Window, Overtaking Probability, and the generative-AI 'StatBot' for broadcasters — while remote AI-assisted production has cut on-site broadcast crews from hundreds to roughly 40-50 people [2]. Market Share (2/2): F1 holds an effective global monopoly on premier open-wheel motorsport, and Liberty's ownership of both F1 and MotoGP gives it commanding position across the two largest motorsport disciplines; 2025 fan attendance reached 6.75M (+4%) with live viewership up 21% [1]. Product Pipeline (1/2): The Turkish Grand Prix returns in 2027 under a new multi-year agreement, and partnerships with Salesforce, Allwyn, Marsh, FanDuel, and Betway were signed or extended, though no major next-generation product beyond calendar/partnership additions was identified. R&amp;D Intensity (0/1): No traditional R&amp;D spending applies to a media/commercial-rights holder.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distinctive Liberty Media/F1 purpose statement was identified beyond commercial growth framing — outgoing CEO Greg Maffei described the goal as making F1 'more competitive, sustainable and spectacular,' a reasonable soundbite but not a deeply articulated cause [3]. Community Impact (1/2): F1's first Impact Report cites a 13% carbon footprint reduction versus a 2018 baseline and the F1 Academy all-female racing series promotes diversity in motorsport — specific, named initiatives, though moderate in scale relative to the business [4]. Employee Retention (0/2): No employee tenure/turnover data was found; the more relevant signal is executive instability — Greg Maffei is the fourth senior Liberty Media executive to depart since the 2017 F1 acquisition, stepping down as President/CEO at the end of his contract in 2024 [3]. Insider Buying (0/2): Director Chase Carey sold $9.03M (100,000 shares) and executive Renee Wilm sold $1.04M (42.66% of her position) in mid-2026 — clear net insider selling with no offsetting buying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of ~18% YoY and a 5-year CAGR of ~17% (driven by the post-COVID / 'Drive to Survive' commercial expansion) both clear their targets, and D/E of 60% sits inside the 70% target [6]. However, ROE of 2.73% and profit margin of 5.50% are far below their respective 15% and 20% targets, reflecting the cost structure of live-events and MotoGP integration costs. Forward P/E of 44.35x is well above the 20x target (score 0.39), and Forward PEG remains extreme — Q1 2026 earnings growth was actually negative (-43.6% YoY) even as headline revenue surged, reflecting lumpy quarter-to-quarter recognition (extra race weekends, integration costs) rather than a clean growth-to-earnings translation [1][6]. The stock has pulled back modestly from $102 to $97, improving the forward multiple slightly. Liquidity floor easily cleared: ~2.01M average daily volume at $97.25 yields roughly $196M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Liberty Media's reinvention of F1 from a Euro-centric TV-rights motorsport property into a global entertainment franchise is a genuine, successful transformation, and long-horizon bets like the Las Vegas GP and sustainability commitments show willingness to invest ahead of certain payoff. But four senior executive departures since the 2017 acquisition — including the CEO who built the growth strategy — combined with meaningful director-level insider selling, a lack of any articulated cause beyond commercial growth, and no worthy-rival evidence, land this closer to finite than infinite in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Framing F1 as becoming 'more competitive, sustainable and spectacular' touches on legitimate themes but reads as strategic/commercial positioning rather than a resilient, tested cause bigger than season-to-season commercial results [3]. CEO Stefano Domenicali has led the operational side since 2021, but the broader Liberty Media corporate purpose remains undefined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Four senior Liberty Media executives, including President/CEO Greg Maffei, have departed since the 2017 F1 acquisition — a meaningful pattern of senior leadership churn that is a clear instability signal [3]. No employee culture, tenure, or satisfaction data was found for the Liberty Media/F1 corporate entity.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F1/Liberty Media publicly framing competition (NASCAR, other global sports/entertainment properties) in terms of learning from rivals' strengths; F1 operates in a category with few directly comparable global-scale competitors, and the competitive language centers on expansion and growth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Liberty transformed F1 from a traditional TV-rights motorsport series into a global content and entertainment franchise via the 'Drive to Survive' Netflix partnership, US market expansion (three Grand Prix including the $2B+ Las Vegas GP), and the MotoGP acquisition — a genuine, successful business-model reinvention that redefined the sport's commercial profile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unproven markets (the Las Vegas GP with $2B+ infrastructure investment, the returning Turkish GP) and sustainability targets (13% carbon reduction versus 2018) show willingness to invest ahead of certain payoff. However, the pattern of senior leadership churn and speculation about a possible F1 sale undercut a narrative of steady, principled long-term conviction [1][3][4].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Formula One's commercial momentum remains strong: full-year 2025 F1 revenue grew 14% to $3.9B with operating income up 28% to $632M and Adjusted OIBDA up 20% to $946M, while Q1 2026 revenue surged 53% to $617M with Adjusted OIBDA more than doubling to $172M [1]. Fan attendance hit a record 6.75M (+4%), live viewership grew 21%, and new multi-year sponsorships (Marsh, FanDuel, Betway) alongside extensions (Salesforce, Allwyn) demonstrate accelerating commercial demand. The business is a structurally AI-resilient (score 9), effectively monopolistic global media and live-events franchise — AI cannot substitute live racing, exclusive broadcast rights, or hospitality experiences — and AWS-powered AI tools are actively enhancing the product rather than threatening it [2].</w:t>
      </w:r>
    </w:p>
    <w:p>
      <w:pPr>
        <w:spacing w:after="120"/>
      </w:pPr>
      <w:r>
        <w:rPr>
          <w:rFonts w:ascii="Calibri" w:hAnsi="Calibri"/>
          <w:b w:val="0"/>
          <w:color w:val="3A4A28"/>
          <w:sz w:val="20"/>
        </w:rPr>
        <w:t>The bear case centers on earnings quality, leadership stability, and valuation. Trailing PE of 104.53x and Forward PE of 44.35x reflect weak profitability — ROE of 2.73% and profit margin of 5.50% are poor for the asset's scale, reflecting MotoGP integration costs and lumpy quarter-to-quarter revenue recognition tied to race-calendar timing [6]. Q1 2026 EPS growth was actually negative (-43.6% YoY) even as revenue surged 53%, highlighting the disconnect between top-line momentum and bottom-line translation. Greg Maffei — the executive most associated with the 'Drive to Survive' growth strategy — is the fourth senior Liberty Media leader to depart since 2017, and directors have been meaningful net sellers in 2026 (Chase Carey's $9.03M sale, Renee Wilm's 42.66%-of-position sale), raising questions about insider conviction at current prices [3][5]. The Inspire Impact Score of -62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Turkish Grand Prix returning in 2027 under a new multi-year agreement, adding to a race calendar already delivering record attendance (6.75M, +4%) and viewership (+21%), with continued US market expansion [1]</w:t>
      </w:r>
    </w:p>
    <w:p>
      <w:pPr>
        <w:spacing w:before="40" w:after="40"/>
        <w:ind w:left="283"/>
      </w:pPr>
      <w:r>
        <w:rPr>
          <w:rFonts w:ascii="Calibri" w:hAnsi="Calibri"/>
          <w:b/>
          <w:color w:val="4A6B25"/>
          <w:sz w:val="20"/>
        </w:rPr>
        <w:t xml:space="preserve">2. </w:t>
      </w:r>
      <w:r>
        <w:rPr>
          <w:rFonts w:ascii="Calibri" w:hAnsi="Calibri"/>
          <w:b w:val="0"/>
          <w:color w:val="3A4A28"/>
          <w:sz w:val="20"/>
        </w:rPr>
        <w:t>AI-driven production efficiency (crew reductions from hundreds to 40-50 people per broadcast) and the eight new AI partnerships supporting margin expansion and fan engagement growth [2]</w:t>
      </w:r>
    </w:p>
    <w:p>
      <w:pPr>
        <w:spacing w:before="40" w:after="40"/>
        <w:ind w:left="283"/>
      </w:pPr>
      <w:r>
        <w:rPr>
          <w:rFonts w:ascii="Calibri" w:hAnsi="Calibri"/>
          <w:b/>
          <w:color w:val="4A6B25"/>
          <w:sz w:val="20"/>
        </w:rPr>
        <w:t xml:space="preserve">3. </w:t>
      </w:r>
      <w:r>
        <w:rPr>
          <w:rFonts w:ascii="Calibri" w:hAnsi="Calibri"/>
          <w:b w:val="0"/>
          <w:color w:val="3A4A28"/>
          <w:sz w:val="20"/>
        </w:rPr>
        <w:t>Potential resolution of strategic uncertainty around Liberty Media's long-term ownership intentions, which could re-rate the stock if the franchise is either retained with a clear growth plan or sold at a premium to a strategic acquirer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44.35x against negative trailing EPS growth (-43.6% YoY) creates extreme valuation vulnerability — if profitability doesn't catch up to revenue growth, the stock faces significant multiple compression [6]</w:t>
      </w:r>
    </w:p>
    <w:p>
      <w:pPr>
        <w:spacing w:before="40" w:after="40"/>
        <w:ind w:left="283"/>
      </w:pPr>
      <w:r>
        <w:rPr>
          <w:rFonts w:ascii="Calibri" w:hAnsi="Calibri"/>
          <w:b/>
          <w:color w:val="4A6B25"/>
          <w:sz w:val="20"/>
        </w:rPr>
        <w:t xml:space="preserve">2. </w:t>
      </w:r>
      <w:r>
        <w:rPr>
          <w:rFonts w:ascii="Calibri" w:hAnsi="Calibri"/>
          <w:b w:val="0"/>
          <w:color w:val="3A4A28"/>
          <w:sz w:val="20"/>
        </w:rPr>
        <w:t>Four senior Liberty Media executive departures since 2017 including CEO Greg Maffei, plus meaningful director-level insider selling in 2026 ($9.03M by Chase Carey, 42.66% of position by Renee Wilm), signal possible insider concerns [3][5]</w:t>
      </w:r>
    </w:p>
    <w:p>
      <w:pPr>
        <w:spacing w:before="40" w:after="40"/>
        <w:ind w:left="283"/>
      </w:pPr>
      <w:r>
        <w:rPr>
          <w:rFonts w:ascii="Calibri" w:hAnsi="Calibri"/>
          <w:b/>
          <w:color w:val="4A6B25"/>
          <w:sz w:val="20"/>
        </w:rPr>
        <w:t xml:space="preserve">3. </w:t>
      </w:r>
      <w:r>
        <w:rPr>
          <w:rFonts w:ascii="Calibri" w:hAnsi="Calibri"/>
          <w:b w:val="0"/>
          <w:color w:val="3A4A28"/>
          <w:sz w:val="20"/>
        </w:rPr>
        <w:t>MotoGP integration costs and lumpy race-calendar revenue recognition obscure the underlying profitability trajectory, making it difficult to assess whether the 2.73% ROE and 5.50% profit margin represent temporary or structural characteristics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F1's core product — live global motorsport competition, exclusive FIA commercial rights, and in-person event/hospitality experiences — cannot be substituted by AI; the physical spectacle of racing, broadcast rights exclusivity, and race-hosting fees are structurally immune to AI displacement [1]. AI is being used to enhance the broadcast product and fan engagement rather than threaten the underlying business. No analysts have flagged AI as a meaningful risk to the F1 franchise. AI Opportunity (1/1): Concrete, named deployments include the AWS-powered F1 Insights suite (Tyre Performance Predictor, Pit Stop Window, Overtaking Probability), the generative 'StatBot' broadcaster tool, and eight new AI partnerships signed in six months that have materially improved production efficiency — cutting on-site crews from hundreds to 40-50 people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Media Corporation Reports First Quarter 2026 Financial and Operating Results — Revenue $617M (+53%), OIBDA $172M, 2025 Full Year Revenue $3.9B (+14%) — libertymedia.com/BusinessWire,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AWS F1 Insights AI Platform, StatBot, 8 New AI Partnerships, Remote Production Crew Reductions — TechHQ, BlackBook Motorsport, CIO Magazine, 2025-2026</w:t>
      </w:r>
    </w:p>
    <w:p>
      <w:pPr>
        <w:spacing w:before="20" w:after="20"/>
        <w:ind w:left="170"/>
      </w:pPr>
      <w:r>
        <w:rPr>
          <w:rFonts w:ascii="Calibri" w:hAnsi="Calibri"/>
          <w:b/>
          <w:color w:val="4A6B25"/>
          <w:sz w:val="15"/>
        </w:rPr>
        <w:t xml:space="preserve">3. </w:t>
      </w:r>
      <w:r>
        <w:rPr>
          <w:rFonts w:ascii="Calibri" w:hAnsi="Calibri"/>
          <w:b w:val="0"/>
          <w:color w:val="3A4A28"/>
          <w:sz w:val="17"/>
        </w:rPr>
        <w:t>Greg Maffei Departure as Liberty Media President/CEO — Fourth Senior Executive Exit Since 2017 Acquisition — Forbes, Formula1.com, November 2024</w:t>
      </w:r>
    </w:p>
    <w:p>
      <w:pPr>
        <w:spacing w:before="20" w:after="20"/>
        <w:ind w:left="170"/>
      </w:pPr>
      <w:r>
        <w:rPr>
          <w:rFonts w:ascii="Calibri" w:hAnsi="Calibri"/>
          <w:b/>
          <w:color w:val="4A6B25"/>
          <w:sz w:val="15"/>
        </w:rPr>
        <w:t xml:space="preserve">4. </w:t>
      </w:r>
      <w:r>
        <w:rPr>
          <w:rFonts w:ascii="Calibri" w:hAnsi="Calibri"/>
          <w:b w:val="0"/>
          <w:color w:val="3A4A28"/>
          <w:sz w:val="17"/>
        </w:rPr>
        <w:t>F1 Impact Report — 13% Carbon Reduction vs 2018, F1 Academy All-Female Series — corp.formula1.com, 2025-2026</w:t>
      </w:r>
    </w:p>
    <w:p>
      <w:pPr>
        <w:spacing w:before="20" w:after="20"/>
        <w:ind w:left="170"/>
      </w:pPr>
      <w:r>
        <w:rPr>
          <w:rFonts w:ascii="Calibri" w:hAnsi="Calibri"/>
          <w:b/>
          <w:color w:val="4A6B25"/>
          <w:sz w:val="15"/>
        </w:rPr>
        <w:t xml:space="preserve">5. </w:t>
      </w:r>
      <w:r>
        <w:rPr>
          <w:rFonts w:ascii="Calibri" w:hAnsi="Calibri"/>
          <w:b w:val="0"/>
          <w:color w:val="3A4A28"/>
          <w:sz w:val="17"/>
        </w:rPr>
        <w:t>FWONK Insider Trading — Chase Carey $9.03M Sale, Renee Wilm 42.66% Position Sale — MarketBeat, TickerReport Form 4 Filings, June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Morningstar — FWONK Key Statistics: Forward P/E 44.35x, D/E 60%, ROE 2.73%, Profit Margin 5.50%, Stock Price $97.25,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