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GBDC</w:t>
      </w:r>
      <w:r>
        <w:rPr>
          <w:rFonts w:ascii="Calibri" w:hAnsi="Calibri"/>
          <w:b/>
          <w:color w:val="1A2010"/>
          <w:sz w:val="40"/>
        </w:rPr>
        <w:t xml:space="preserve">  Golub Capital BDC, Inc.</w:t>
      </w:r>
    </w:p>
    <w:p>
      <w:pPr>
        <w:spacing w:after="120"/>
      </w:pPr>
      <w:r>
        <w:rPr>
          <w:rFonts w:ascii="Calibri" w:hAnsi="Calibri"/>
          <w:b/>
          <w:color w:val="6E8450"/>
          <w:sz w:val="18"/>
        </w:rPr>
        <w:t>DIVIDEND SLEEVE · 2026-09-06 · Inspire: 16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Golub Capital BDC, Inc. is an externally managed, non-diversified closed-end management investment company (Business Development Company) that invests primarily in one-stop and other senior secured loans to U.S. middle-market companies sponsored by private equity firms. Following the 2024 merger with GBDC 3, the company manages approximately $8.7B in investments across roughly 385 portfolio companies. CEO David Golub has led the company since 2009, emphasizing disciplined underwriting and long-term sponsor relationships. FY2026 Q3 (June 2026) net investment income per share was $0.33 with adjusted NII ROE of approximately 10%.</w:t>
      </w:r>
    </w:p>
    <w:p>
      <w:r>
        <w:rPr>
          <w:rFonts w:ascii="Calibri" w:hAnsi="Calibri"/>
          <w:b/>
          <w:color w:val="6E8450"/>
          <w:sz w:val="18"/>
        </w:rPr>
        <w:t>500 Employees · https://golubcapitalbdc.com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Golub Capital successfully executed the transformative GBDC 3 merger in 2024, roughly doubling the portfolio to $8.7B across 385 companies and creating one of the larger publicly traded middle-market BDCs [1]. The company has delivered consistent net investment income through multiple credit cycles, generating $0.33-$0.38 NII per share quarterly. However, the BDC model is fundamentally a capital deployment vehicle, not an innovation-driven business. AI Deployment (1/2): Management completed a full re-underwrite of the software portfolio for AI disruption risk, concluding that less than 10% of internal and fewer than 3% of third-party holdings face elevated AI disruption risk [2]. This demonstrates analytical rigor in AI risk assessment, though the company has not deployed AI in its own lending operations. Market Share (1/2): GBDC is among the larger publicly traded BDCs focused on middle-market senior secured lending, with significant scale advantages post-merger in deal sourcing and portfolio diversification [1]. Pipeline (1/2): The company benefits from steady deal flow through established relationships with private equity sponsors, with CEO Golub noting strong access to solid deal opportunities [2]. R&amp;D Intensity (0/1): No R&amp;D spend is applicable to a BDC investment vehicle.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Golub Capital's purpose centers on providing financing to mid-market companies backed by private equity sponsors — a necessary economic function that supports business growth and job creation, but not a mission that aspires beyond financial intermediation [2]. The company's stated focus on 'disciplined underwriting and long-term relationships' reflects competent professionalism rather than an inspiring cause. Community Impact (1/2): GC Advisors considers ESG factors in its investment decision-making process, evaluating environmental impact, social conditions, data privacy, and ethics compliance across portfolio companies [3]. While this represents responsible investing practices, no specific philanthropic programs or community initiatives were identified. Employee Retention (1/2): CEO David B. Golub has led the company since November 2009 — 17 years of leadership continuity through the GFC recovery, COVID, and multiple rate cycles demonstrates exceptional stability [2]. Insider Buying (0/2): No insider buying activity was identified in available public disclosures.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financial metrics. Debt-to-equity of approximately 130% reflects the BDC's 1.3x leverage ratio, conservative relative to the 2.0x regulatory maximum but above the 70% target for all-sector scoring [4]. Return on equity of approximately 10.2% (adjusted NII basis) falls short of the 15% target [1]. Investment income declined approximately 8% YoY as falling interest rates compressed portfolio yields, though the GBDC 3 merger complicates YoY comparisons [1]. Forward P/E of 10.03 is well below the 20 target, reflecting attractive valuation for an income vehicle [4]. Net profit margin of 37.8% exceeds the 20% target, typical for BDC structures with low operating expenses relative to investment income [4]. The dividend payout ratio of approximately 90% is structurally required for BDC tax status but penalizes the mechanical scoring algorithm. Sixteen consecutive years of dividend payments since 2010 IPO, though dividend growth has been modest at approximately 2% 5-year CAGR as base rates fluctuated [4]. Daily dollar volume of approximately $18.3M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Golub Capital demonstrates moderate infinite game characteristics anchored by CEO David Golub's 17-year tenure and the company's relationship-driven approach to middle-market lending. The emphasis on 'early identification of problems' and long-term sponsor relationships reflects a partnership-oriented mindset [2]. The GBDC 3 merger showed strategic ambition for scale. However, the BDC structure — with its quarterly distribution requirements, regulatory constraints, and external management model — inherently limits the scope for truly long-term, cause-driven thinking. Decision-making is more oriented toward managing credit cycles than advancing a transcendent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Golub Capital's purpose of providing financing to mid-market companies serves an important economic function — these companies often lack access to public capital markets and rely on BDCs for growth capital [2]. However, financial intermediation is transactional rather than transformational, and the company's articulation of purpose focuses on investment performance and shareholder returns rather than a broader societal mission. The BDC structure's emphasis on distributing 90%+ of income prioritizes current yield over long-term value creation.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David Golub's 17-year tenure provides exceptional leadership stability, and the company's culture emphasizes being 'giant believers in early identification of problems because it provides more options with sponsors and management teams' — a philosophy that suggests psychological safety in surfacing issues rather than hiding them [2]. The relationship-based approach to PE sponsors implies a collaborative culture. However, as an externally managed BDC, the company's workforce is small and employed by the adviser (GC Advisors) rather than the BDC itself, limiting the scope for team-building culture assessment.</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Golub Capital competes with major BDCs including Ares Capital (ARCC), Blue Owl Capital, and Owl Rock in the middle-market lending space. No evidence was found of leadership publicly acknowledging competitors' strengths or using rival capabilities as motivation for self-improvement. The BDC industry's competitive dynamics center on deal flow access and pricing rather than constructive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GBDC 3 merger demonstrated significant strategic flexibility — Golub Capital roughly doubled the BDC's portfolio, achieving scale advantages in diversification and operating efficiency [1]. The company has also adapted to changing rate environments by adjusting portfolio composition and leverage. However, the BDC model is structurally constrained by regulation (Investment Company Act of 1940), limiting the scope for fundamental business model reinvention. The core strategy of senior secured middle-market lending has remained essentially unchanged since inception.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David Golub has navigated GBDC through multiple credit cycles over 17 years, including the GFC recovery, COVID-19 disruptions, the 2022-2023 rate shock, and current credit stress. His public acknowledgment of being 'in a credit cycle with elevated stress' shows transparency rather than promotional spin [2]. The decision to execute the GBDC 3 merger — a complex transaction integrating two portfolios — required conviction and execution skill. However, the external management structure means Golub's incentives are partially misaligned with shareholders (management fees based on AUM rather than performance alone).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Golub Capital BDC offers an attractive 10.3% dividend yield backed by a $8.7B portfolio of senior secured middle-market loans, primarily to PE-sponsored companies with established credit profiles [1]. The 2024 GBDC 3 merger created scale advantages in diversification (385 portfolio companies) and deal flow, while CEO David Golub's 17-year tenure provides steady leadership through credit cycles. Conservative leverage of 1.3x debt-to-equity (vs. 2.0x regulatory limit) and adjusted NII ROE of ~10% support the current distribution level [4].</w:t>
      </w:r>
    </w:p>
    <w:p>
      <w:pPr>
        <w:spacing w:after="120"/>
      </w:pPr>
      <w:r>
        <w:rPr>
          <w:rFonts w:ascii="Calibri" w:hAnsi="Calibri"/>
          <w:b w:val="0"/>
          <w:color w:val="3A4A28"/>
          <w:sz w:val="20"/>
        </w:rPr>
        <w:t>The primary headwinds are structural: declining interest rates are compressing portfolio yields and NII per share (down from $0.38 to $0.33 quarterly), the BDC's required 90%+ payout ratio leaves minimal retained earnings for NAV growth, and the external management structure creates fee-related conflicts. Under the IOWN framework, GBDC scores well on infrastructure and income generation but poorly on innovation and inspiration — BDCs are income vehicles, not growth or mission-driven businesses. The stock trades at a discount to NAV ($12.72 vs. $14.84 NAV), suggesting the market shares skepticism about earnings sustainability as rates normalize. A WATCH recommendation reflects the yield attractiveness tempered by limited upside potential and framework-inherent penalties for financial intermediaries.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stabilization or reversal could arrest NII compression, supporting the current $0.33 quarterly distribution and potentially enabling supplemental dividends</w:t>
      </w:r>
    </w:p>
    <w:p>
      <w:pPr>
        <w:spacing w:before="40" w:after="40"/>
        <w:ind w:left="283"/>
      </w:pPr>
      <w:r>
        <w:rPr>
          <w:rFonts w:ascii="Calibri" w:hAnsi="Calibri"/>
          <w:b/>
          <w:color w:val="4A6B25"/>
          <w:sz w:val="20"/>
        </w:rPr>
        <w:t xml:space="preserve">2. </w:t>
      </w:r>
      <w:r>
        <w:rPr>
          <w:rFonts w:ascii="Calibri" w:hAnsi="Calibri"/>
          <w:b w:val="0"/>
          <w:color w:val="3A4A28"/>
          <w:sz w:val="20"/>
        </w:rPr>
        <w:t>Scale advantages from the GBDC 3 merger may drive operating efficiency gains and improved deal terms as the integrated portfolio matures</w:t>
      </w:r>
    </w:p>
    <w:p>
      <w:pPr>
        <w:spacing w:before="40" w:after="40"/>
        <w:ind w:left="283"/>
      </w:pPr>
      <w:r>
        <w:rPr>
          <w:rFonts w:ascii="Calibri" w:hAnsi="Calibri"/>
          <w:b/>
          <w:color w:val="4A6B25"/>
          <w:sz w:val="20"/>
        </w:rPr>
        <w:t xml:space="preserve">3. </w:t>
      </w:r>
      <w:r>
        <w:rPr>
          <w:rFonts w:ascii="Calibri" w:hAnsi="Calibri"/>
          <w:b w:val="0"/>
          <w:color w:val="3A4A28"/>
          <w:sz w:val="20"/>
        </w:rPr>
        <w:t>Middle-market PE deal activity recovery could expand the pipeline of high-quality lending opportunities, supporting portfolio growth and yield maintenance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rate declines could further compress NII per share below the current $0.33 quarterly distribution, eventually forcing a dividend cut that would likely trigger significant price decline given the yield-focused shareholder base</w:t>
      </w:r>
    </w:p>
    <w:p>
      <w:pPr>
        <w:spacing w:before="40" w:after="40"/>
        <w:ind w:left="283"/>
      </w:pPr>
      <w:r>
        <w:rPr>
          <w:rFonts w:ascii="Calibri" w:hAnsi="Calibri"/>
          <w:b/>
          <w:color w:val="4A6B25"/>
          <w:sz w:val="20"/>
        </w:rPr>
        <w:t xml:space="preserve">2. </w:t>
      </w:r>
      <w:r>
        <w:rPr>
          <w:rFonts w:ascii="Calibri" w:hAnsi="Calibri"/>
          <w:b w:val="0"/>
          <w:color w:val="3A4A28"/>
          <w:sz w:val="20"/>
        </w:rPr>
        <w:t>Elevated credit stress in the middle-market could increase non-accruals and realized losses — management acknowledges being in a credit cycle with elevated stress, and any portfolio company defaults would directly reduce distributable income [2]</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creates misaligned incentives: GC Advisors earns fees based on assets under management, which could encourage leverage increases or lower-quality originations to grow the portfolio at the expense of credit quality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Golub Capital's core competency — middle-market lending through established private equity sponsor relationships — relies on deep due diligence, complex deal structuring, and relationship capital that AI cannot readily replicate [2]. The company's competitive moat is built on decades of sponsor relationships and sector expertise rather than algorithmic processes. However, AI-powered fintech lenders could gradually automate portions of credit analysis, loan monitoring, and portfolio management, potentially compressing the cost advantages of scale-based BDCs. The bigger structural protection is that middle-market loans are bespoke transactions requiring negotiation and ongoing borrower engagement. Management's proactive re-underwriting of the software portfolio for AI disruption risk demonstrates awareness of AI threats to portfolio companies, with less than 10% of holdings deemed at elevated risk [2]. AI Opportunity (0/1): No evidence that Golub Capital has deployed AI tools in its own lending operations, credit analysis, or portfolio monitoring. The company assesses AI risk in portfolio companies but does not leverage AI as a revenue driver or operational efficiency tool.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Golub Capital BDC FY2026 Q3 Earnings Presentation, quarter ended June 30, 2026</w:t>
      </w:r>
    </w:p>
    <w:p>
      <w:pPr>
        <w:spacing w:before="20" w:after="20"/>
        <w:ind w:left="170"/>
      </w:pPr>
      <w:r>
        <w:rPr>
          <w:rFonts w:ascii="Calibri" w:hAnsi="Calibri"/>
          <w:b/>
          <w:color w:val="4A6B25"/>
          <w:sz w:val="15"/>
        </w:rPr>
        <w:t xml:space="preserve">2. </w:t>
      </w:r>
      <w:r>
        <w:rPr>
          <w:rFonts w:ascii="Calibri" w:hAnsi="Calibri"/>
          <w:b w:val="0"/>
          <w:color w:val="3A4A28"/>
          <w:sz w:val="17"/>
        </w:rPr>
        <w:t>Golub Capital BDC Q3 FY2026 Earnings Call Highlights,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Golub Capital BDC Form 10-K FY2024, ESG Investment Policy Disclosures, SEC Filing</w:t>
      </w:r>
    </w:p>
    <w:p>
      <w:pPr>
        <w:spacing w:before="20" w:after="20"/>
        <w:ind w:left="170"/>
      </w:pPr>
      <w:r>
        <w:rPr>
          <w:rFonts w:ascii="Calibri" w:hAnsi="Calibri"/>
          <w:b/>
          <w:color w:val="4A6B25"/>
          <w:sz w:val="15"/>
        </w:rPr>
        <w:t xml:space="preserve">4. </w:t>
      </w:r>
      <w:r>
        <w:rPr>
          <w:rFonts w:ascii="Calibri" w:hAnsi="Calibri"/>
          <w:b w:val="0"/>
          <w:color w:val="3A4A28"/>
          <w:sz w:val="17"/>
        </w:rPr>
        <w:t>Stock Analysis — GBDC statistics, valuation, and dividend data, stockanalysis.com,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