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GBTG</w:t>
      </w:r>
      <w:r>
        <w:rPr>
          <w:rFonts w:ascii="Calibri" w:hAnsi="Calibri"/>
          <w:b/>
          <w:color w:val="1A2010"/>
          <w:sz w:val="40"/>
        </w:rPr>
        <w:t xml:space="preserve">  Global Business Travel Group, Inc. (Amex GBT)</w:t>
      </w:r>
    </w:p>
    <w:p>
      <w:pPr>
        <w:spacing w:after="120"/>
      </w:pPr>
      <w:r>
        <w:rPr>
          <w:rFonts w:ascii="Calibri" w:hAnsi="Calibri"/>
          <w:b/>
          <w:color w:val="6E8450"/>
          <w:sz w:val="18"/>
        </w:rPr>
        <w:t>GROWTH SLEEVE · 2026-09-17 · Inspire: 21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NYSE · United States</w:t>
      </w:r>
    </w:p>
    <w:p>
      <w:pPr>
        <w:spacing w:after="80"/>
      </w:pPr>
      <w:r>
        <w:rPr>
          <w:rFonts w:ascii="Calibri" w:hAnsi="Calibri"/>
          <w:b w:val="0"/>
          <w:color w:val="3A4A28"/>
          <w:sz w:val="20"/>
        </w:rPr>
        <w:t>American Express Global Business Travel (Amex GBT) is the world's largest managed corporate travel platform, offering booking marketplaces, expense integration (with SAP Concur), and duty-of-care services to enterprise clients globally. The September 2025 acquisition of CWT materially expanded scale, driving Q4 2025 revenue growth of 34% to $792M and full-year 2025 revenue of $2.72B. The company guides to 19-21% revenue growth for 2026 and has doubled its share buyback authorization to $600M.</w:t>
      </w:r>
    </w:p>
    <w:p>
      <w:r>
        <w:rPr>
          <w:rFonts w:ascii="Calibri" w:hAnsi="Calibri"/>
          <w:b/>
          <w:color w:val="6E8450"/>
          <w:sz w:val="18"/>
        </w:rPr>
        <w:t>27,000 Employees · https://www.amexglobalbusinesstravel.com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September 2025 CWT acquisition consolidated Amex GBT's position as the clear #1-2 global travel management company (TMC), driving Q4 2025 revenue growth of 34% and total transaction value growth of 45% to $10B, with 2026 guidance of 19-21% revenue growth [1]. AI Deployment (2/2): Amex GBT operates a formal AI initiative with dedicated leadership, budget, and measurable objectives under Chief Innovation and Technology Officer David Thompson, and its CISO uses AI for SOC automation, threat modeling, and incident response at 'machine speed' [2]. Market Share (1/2): Post-CWT, Amex GBT is unambiguously among the top two global TMCs by transaction volume, though the corporate travel market remains fragmented with regional and boutique competitors retaining share in specific geographies. Pipeline (1/2): Proprietary AI across proactive disruption management and personalized trip recommendations, plus the co-developed 'Complete by SAP Concur and Amex GBT' travel-and-expense platform, show continued platform investment [1][2]. R&amp;D Intensity (1/1): A structured AI governance function with dedicated leadership and budget indicates R&amp;D investment above typical travel-services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Amex GBT's positioning as the trusted, duty-of-care-focused corporate travel partner is more specific than generic travel marketing, but functions primarily as a value proposition for enterprise buyers rather than an articulated societal cause. Community Impact (2/2): Amex GBT earned Platinum EcoVadis status (top 1% of rated companies globally) and launched an emissions-based carbon pricing tool enabling clients to fund sustainability initiatives — genuine, externally validated ESG performance [3]. Employee Retention (0/2): With 27,000 employees globally following the CWT integration, no specific retention or engagement data was identified, and large-scale M&amp;A integrations of this kind typically carry meaningful workforce disruption risk. Insider Buying (1/2): The doubled $600M share buyback authorization signals management confidence in intrinsic value, though this is a capital allocation decision rather than direct insider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weights (ROE 2x, Rev Growth 5yr CAGR 2x; PEG unavailable and excluded from the weighted average). Revenue growth of 37.9% YoY clears the 10% target outright (score 1.0), and the estimated 3-5 year revenue CAGR of ~15% (from ~$1.8B in 2022 to $2.72B in 2025, reflecting the company's short public history since its 2022 SPAC merger) also clears its target (score 1.0). Forward P/E of 20.0 sits almost exactly at the 20 target (score ~1.0). D/E of 96.4% clears the 300% floor comfortably relative to target (score 0.89). ROE of 6.35% and profit margin of 2.77% both fall well short of their 15%/20% targets (scores 0.42 and 0.14), reflecting margin dilution from the CWT integration and the broader low-margin economics of travel intermediation. Liquidity floor cleared comfortably at ~$17.3M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Amex GBT combines a genuine service mission (duty-of-care, traveler safety) with a financial-engineering heritage (Certares/Sabre-led consolidation, 2022 SPAC-adjacent IPO, and the large debt-funded CWT acquisition), producing a mixed profile: real investment in AI and sustainability, but strategy still substantially shaped by consolidation and buyback-driven capital allocation rather than a distinctive long-horizon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Amex GBT's duty-of-care and traveler-safety positioning has genuine social value, and Platinum EcoVadis recognition backs it with third-party validation, but the company's strategic narrative centers more on scale consolidation (CWT) and shareholder returns (buybacks) than an articulated cause beyond commercial travel management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27,000-person post-CWT workforce faces integration risk typical of large-scale M&amp;A, and no employee retention, engagement, or culture data was identified publicly to assess whether the combined organization is building genuine trust through the merger.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Amex GBT competes against a fragmented field of regional and boutique TMCs as well as emerging AI travel-planning entrants, and its CEO's public comments on AI acknowledge the competitive landscape is evolving, though the primary competitive narrative emphasizes scale advantage post-CWT rather than learning from rivals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CWT acquisition represents a major structural bet to consolidate the TMC industry ahead of AI-driven disintermediation risk, and the formal AI governance initiative shows proactive adaptation, though the core managed-travel business model itself remains largely unchanged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partial): Committing to the large, debt-funded CWT acquisition during an uncertain travel demand environment reflects a willingness to take structural risk for long-term scale, but the simultaneous doubling of the share buyback authorization to $600M suggests capital priorities remain balanced toward near-term shareholder returns rather than pure reinvestment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Amex GBT's 2025 CWT acquisition transformed the company into the clear scale leader in managed corporate travel, driving Q4 2025 revenue growth of 34% to $792M, full-year 2025 revenue of $2.72B, and 2026 guidance of 19-21% growth alongside a doubled $600M buyback authorization [1]. CEO Paul Abbott's explicit framing of AI as a TMC tailwind — because corporate travel's policy compliance, negotiated-rate, and duty-of-care complexity resist commoditized AI disintermediation — is reinforced by a formal AI governance function with dedicated budget and leadership [2]. Platinum EcoVadis status (top 1% globally) and an emissions-based carbon pricing tool demonstrate credible sustainability infrastructure that also serves as a client retention and ESG-compliance selling point for enterprise accounts [3].</w:t>
      </w:r>
    </w:p>
    <w:p>
      <w:pPr>
        <w:spacing w:after="120"/>
      </w:pPr>
      <w:r>
        <w:rPr>
          <w:rFonts w:ascii="Calibri" w:hAnsi="Calibri"/>
          <w:b w:val="0"/>
          <w:color w:val="3A4A28"/>
          <w:sz w:val="20"/>
        </w:rPr>
        <w:t>The bear case centers on margin quality and integration risk. ROE of 6.35% and profit margin of 2.77% show the business earning thin returns on a large asset and revenue base, and travel intermediation is structurally low-margin regardless of scale [4]. The CWT integration across a combined 27,000-employee organization carries meaningful execution risk, and no public data confirms the culture and retention integration is proceeding smoothly. D/E of 96.4% reflects real leverage taken on to fund the acquisition, and if post-merger revenue growth normalizes faster than the 19-21% 2026 guidance implies, deleveraging could pressure the buyback pace or require a strategic reset. Faith Alignment is MIXED (21) on Inspire's framework, reflecting a modestly positive but unremarkable values profile, though this carries 0% weight in the overall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CWT integration converting the enlarged 27,000-employee, $2.72B-revenue platform into durable margin expansion beyond the current 2.77% profit margin [1][4]</w:t>
      </w:r>
    </w:p>
    <w:p>
      <w:pPr>
        <w:spacing w:before="40" w:after="40"/>
        <w:ind w:left="283"/>
      </w:pPr>
      <w:r>
        <w:rPr>
          <w:rFonts w:ascii="Calibri" w:hAnsi="Calibri"/>
          <w:b/>
          <w:color w:val="4A6B25"/>
          <w:sz w:val="20"/>
        </w:rPr>
        <w:t xml:space="preserve">2. </w:t>
      </w:r>
      <w:r>
        <w:rPr>
          <w:rFonts w:ascii="Calibri" w:hAnsi="Calibri"/>
          <w:b w:val="0"/>
          <w:color w:val="3A4A28"/>
          <w:sz w:val="20"/>
        </w:rPr>
        <w:t>Continued execution against 2026 guidance of 19-21% revenue growth and $615M-$645M adjusted EBITDA, validating the post-merger scale thesis [1]</w:t>
      </w:r>
    </w:p>
    <w:p>
      <w:pPr>
        <w:spacing w:before="40" w:after="40"/>
        <w:ind w:left="283"/>
      </w:pPr>
      <w:r>
        <w:rPr>
          <w:rFonts w:ascii="Calibri" w:hAnsi="Calibri"/>
          <w:b/>
          <w:color w:val="4A6B25"/>
          <w:sz w:val="20"/>
        </w:rPr>
        <w:t xml:space="preserve">3. </w:t>
      </w:r>
      <w:r>
        <w:rPr>
          <w:rFonts w:ascii="Calibri" w:hAnsi="Calibri"/>
          <w:b w:val="0"/>
          <w:color w:val="3A4A28"/>
          <w:sz w:val="20"/>
        </w:rPr>
        <w:t>Expansion of AI-driven proactive disruption management and personalized recommendations as a client-retention differentiator against both boutique TMCs and AI-native entrants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Thin profitability (2.77% margin, 6.35% ROE) leaves limited room for error if CWT integration costs run above expectations or corporate travel demand softens [4]</w:t>
      </w:r>
    </w:p>
    <w:p>
      <w:pPr>
        <w:spacing w:before="40" w:after="40"/>
        <w:ind w:left="283"/>
      </w:pPr>
      <w:r>
        <w:rPr>
          <w:rFonts w:ascii="Calibri" w:hAnsi="Calibri"/>
          <w:b/>
          <w:color w:val="4A6B25"/>
          <w:sz w:val="20"/>
        </w:rPr>
        <w:t xml:space="preserve">2. </w:t>
      </w:r>
      <w:r>
        <w:rPr>
          <w:rFonts w:ascii="Calibri" w:hAnsi="Calibri"/>
          <w:b w:val="0"/>
          <w:color w:val="3A4A28"/>
          <w:sz w:val="20"/>
        </w:rPr>
        <w:t>D/E of 96.4% reflects acquisition-related leverage that could constrain capital flexibility if 2026 growth guidance (19-21%) is not met [4]</w:t>
      </w:r>
    </w:p>
    <w:p>
      <w:pPr>
        <w:spacing w:before="40" w:after="40"/>
        <w:ind w:left="283"/>
      </w:pPr>
      <w:r>
        <w:rPr>
          <w:rFonts w:ascii="Calibri" w:hAnsi="Calibri"/>
          <w:b/>
          <w:color w:val="4A6B25"/>
          <w:sz w:val="20"/>
        </w:rPr>
        <w:t xml:space="preserve">3. </w:t>
      </w:r>
      <w:r>
        <w:rPr>
          <w:rFonts w:ascii="Calibri" w:hAnsi="Calibri"/>
          <w:b w:val="0"/>
          <w:color w:val="3A4A28"/>
          <w:sz w:val="20"/>
        </w:rPr>
        <w:t>Large-scale merger integration risk across a combined 27,000-employee workforce, with no public retention or culture-integration data to confirm smooth execution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CEO Paul Abbott is explicitly bullish that AI 'will strengthen and strengthen' TMCs rather than displace them, arguing that corporate travel's complexity — policy compliance, negotiated rates, duty-of-care obligations, and expense integration — creates a moat that consumer-facing AI travel agents cannot easily replicate [2]. Enterprise clients value Amex GBT's negotiated corporate rates and compliance infrastructure, which a generic AI booking tool cannot access. However, AI-native travel-planning tools targeting simpler, less-regulated bookings represent a longer-term competitive threat to the lower-complexity segment of Amex GBT's business. AI Opportunity (1/1): Amex GBT deploys proprietary AI for proactive disruption management and personalized recommendations, with real-time trip monitoring designed to resolve problems before travelers encounter them — a quantifiable service differentiator embedded directly into the client value proposition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Express Global Business Travel Q4/FY2025 and Q1-Q2 2026 Earnings Releases, 2026 Guidance (19-21% revenue growth, $600M buyback) — investors.amexglobalbusinesstravel.com,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Amex GBT CEO Paul Abbott on AI and TMC disruption; AI Innovation and Governance initiative; CISO AI-driven SOC automation — PhocusWire, diginomica, VentureBeat,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Amex GBT EcoVadis Platinum status, emissions-based carbon pricing tool, ESG Report 2023 — ESG Dive, GSTC, amexglobalbusinesstravel.com,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SEC 8-K filings — GBTG key statistics: price $9.47, forward P/E 20.02, D/E 96.4%, ROE 6.35%, profit margin 2.77%, revenue growth 37.9% YoY, avg volume 1.83M; historical revenue 2022-2025,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