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GE</w:t>
      </w:r>
      <w:r>
        <w:rPr>
          <w:rFonts w:ascii="Calibri" w:hAnsi="Calibri"/>
          <w:b/>
          <w:color w:val="1A2010"/>
          <w:sz w:val="40"/>
        </w:rPr>
        <w:t xml:space="preserve">  GE Aerospace</w:t>
      </w:r>
    </w:p>
    <w:p>
      <w:pPr>
        <w:spacing w:after="120"/>
      </w:pPr>
      <w:r>
        <w:rPr>
          <w:rFonts w:ascii="Calibri" w:hAnsi="Calibri"/>
          <w:b/>
          <w:color w:val="6E8450"/>
          <w:sz w:val="18"/>
        </w:rPr>
        <w:t>GROWTH SLEEVE · 2026-10-19 · Inspire: 45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 United States</w:t>
      </w:r>
    </w:p>
    <w:p>
      <w:pPr>
        <w:spacing w:after="80"/>
      </w:pPr>
      <w:r>
        <w:rPr>
          <w:rFonts w:ascii="Calibri" w:hAnsi="Calibri"/>
          <w:b w:val="0"/>
          <w:color w:val="3A4A28"/>
          <w:sz w:val="20"/>
        </w:rPr>
        <w:t>GE Aerospace designs and produces commercial and defense aircraft engines, integrated engine components, electric power, and aircraft systems. The company operates through Commercial Engines &amp; Services (LEAP, GE90, GEnx, CF6, CFM56) and Defense &amp; Propulsion Technologies segments, with a $210B+ backlog serving airlines, lessors, and defense customers worldwide. CEO Larry Culp continues to run the company on the FLIGHT DECK lean operating model following the 2023-2024 GE HealthCare and GE Vernova spinoffs.</w:t>
      </w:r>
    </w:p>
    <w:p>
      <w:r>
        <w:rPr>
          <w:rFonts w:ascii="Calibri" w:hAnsi="Calibri"/>
          <w:b/>
          <w:color w:val="6E8450"/>
          <w:sz w:val="18"/>
        </w:rPr>
        <w:t>58,000 Employees · https://www.geaerospace.com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GE Aerospace's multi-year transformation from a sprawling conglomerate into a focused pure-play — completing the GE HealthCare (2023) and GE Vernova (2024) spinoffs — has been validated by accelerating results: Q1 2026 revenue rose 25% YoY with orders up 87% (including a book-to-bill above 2.0x for Defense &amp; Propulsion Technologies for a second consecutive quarter) and TTM revenue growth of 21.7% [1]. AI Deployment (1/2): CEO Culp has publicly committed to AI augmenting, not replacing, aerospace workers — used for maintenance and manufacturing performance — but no specific dollar figures for AI-driven savings were disclosed [2]. Market Share (2/2): The CFM LEAP engine (GE-Safran joint venture) powers 100% of the Boeing 737 MAX and holds more than 55% share of the Airbus A320neo family — the two best-selling aircraft platforms in history — with a target of 2,000 LEAP deliveries in 2026 [6]. Product Pipeline (2/2): RISE next-generation engine architecture, LEAP durability upgrades, hypersonic engine testing, and military drone propulsion partnerships all carry specific programs and near-term milestones [2][6]. R&amp;D Intensity (1/1): Q1 2026 R&amp;D spend of $440M was up 22% YoY (from $360M), an above-trend increase signaling counter-cyclical investment intensity [6].</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'Inventing the future of flight' is specific and validated by a century of jet-engine leadership, sharpened rather than diluted by the 2024 conglomerate breakup; the $1B additional U.S. manufacturing investment traces directly back to this purpose [2]. Community Impact (2/2): The GE Aerospace Foundation contributed more than $22.5M in 2025 alone and launched a dedicated $30M multi-year workforce program addressing manufacturing and engineering skills gaps, reaching over 10,000 individuals across 20+ STEM and workforce-training programs [3]. Employee Retention (0/2): Workforce grew only 0.9% (to 58,331 employees) and employee reviews flag rising engineering turnover among individual contributors and less-technical middle management, offsetting the Foundation's positive community record. Insider Buying (0/2): Multiple senior executives — SVP Mohamed Ali ($2.86M) and EVP Robert Giglietti ($3.79M) — sold shares in July/August 2026 with no offsetting insider purchases identified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excluding revenue growth 5-year CAGR — the 2023 GE HealthCare and 2024 GE Vernova spinoffs make a comparable pre/post standalone 5-year revenue comparison not meaningful, so that metric is dropped per the unavailable-metric rule. ROE of 48.23% and TTM revenue growth of 21.1% both clear their targets comfortably [1][6]. Profit margin of 17.72% approaches the 20% target (score 0.89). D/E of 113% is elevated but manageable given strong cash generation (score 0.81). Valuation improved materially since the prior screen: Forward P/E fell from 41.64x to 34.44x (score 0.64, from 0.46) and PEG from 2.40 to 1.91 (score 0.55 at 2x weight, from 0.30) as the stock declined 10% to $313.83, driving the infrastructure improvement from 7 to 8 [6]. Full-year 2026 guidance was raised after Q2 to operating profit of $10.55-10.75B, adjusted EPS of $7.65-$7.85, and FCF of $8.9-9.2B. Liquidity floor is easily cleared at ~$1.2B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GE Aerospace under Larry Culp remains a strong example of infinite-game thinking — the multi-year dismantling of the century-old GE conglomerate to protect and refocus the aviation business, sustained R&amp;D investment through volatility (Middle East conflict, GE9X ramp costs), and a genuine $30M+ community workforce commitment all trace back to a coherent, resilient cause. The gap to a higher score is evidentiary rather than substantive: no data surfaced this round on rival-learning language or positive insider conviction, and rising engineering turnover tempers the trust picture.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'Inventing the future of flight' has endured GE's near-death experience under prior leadership and was sharpened, not diluted, by the 2024 breakup — the $1B U.S. manufacturing investment and RISE program both trace to this cause [2][6]. It has not yet been tested through a full economic downturn as a standalone company, which keeps it short of a full 3/3.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Culp's FLIGHT DECK operating model explicitly prioritizes 'safety, quality, delivery, cost' in that order, and the $22.5M 2025 Foundation giving plus 3,000+ apprenticeship participants signal genuine workforce investment [3]. However, reported rising engineering turnover among individual contributors and management-quality concerns in employee reviews, combined with senior-executive insider selling, keep this below full marks.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surfaced this round of GE Aerospace explicitly framing Rolls-Royce or Pratt &amp; Whitney as worthy rivals to learn from; the CFM joint venture with Safran reflects partnership rather than a stated competitive-learning posture, so this item scores conservatively absent direct citation.</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breakup of General Electric into three independent companies (GE HealthCare 2023, GE Vernova 2024, GE Aerospace) is among the most significant acts of existential flexibility in modern corporate history — abandoning a valuable, century-old conglomerate structure to refocus on the enduring aviation business, a decision now validated by accelerating orders (+87%) and record backlog [1][6].</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Culp's decision to dismantle the GE conglomerate that every prior CEO fought to preserve was a genuinely costly, multi-year bet [2]. R&amp;D spend rose 22% YoY even as Middle East conflict and GE9X ramp costs pressured near-term margins, and the Foundation's $30M multi-year workforce commitment was made despite no immediate earnings benefit — a pattern of prioritizing long-term capability over quarterly optics [3][6].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 Aerospace continues to deliver an aerospace super-cycle beat: Q2 2026 GAAP revenue reached $13.3B (+21% YoY) following Q1's $12.4B (+25%), with orders up 87% in Q1 and full-year guidance raised to operating profit of $10.55-10.75B, EPS of $7.65-7.85, and FCF of $8.9-9.2B [1]. The $210B+ total backlog — including a $170B commercial services annuity on an aging global fleet — provides multi-year revenue visibility that AI or economic cycles cannot easily erode. At $313.83 (down 10% since August), valuation has become more attractive: Forward P/E of 34.44x and PEG of 1.91 are improved from 41.64x/2.40, while the operational momentum remains unchanged [1][6]. The CFM LEAP engine's dominance (100% of 737 MAX, &gt;55% of A320neo) anchors a durable competitive moat, R&amp;D spend rising 22% YoY signals continued investment in RISE next-gen propulsion, and the appointment of Anton Groom as Chief Data &amp; AI Officer accelerates digital and AI capabilities across manufacturing and maintenance [2]. The GE Aerospace Foundation's $22.5M 2025 giving and $30M multi-year workforce program demonstrate genuine community reinvestment [3].</w:t>
      </w:r>
    </w:p>
    <w:p>
      <w:pPr>
        <w:spacing w:after="120"/>
      </w:pPr>
      <w:r>
        <w:rPr>
          <w:rFonts w:ascii="Calibri" w:hAnsi="Calibri"/>
          <w:b w:val="0"/>
          <w:color w:val="3A4A28"/>
          <w:sz w:val="20"/>
        </w:rPr>
        <w:t>The bear case has moderated but persists. Forward P/E of 34.44x and PEG of 1.91, while improved from the August screen, still leave limited margin of safety for any deceleration in aviation demand. Senior executives (SVP Mohamed Ali, EVP Robert Giglietti) sold multi-million-dollar stakes in July/August 2026 with no offsetting purchases identified [4]. D/E of 113% is elevated, and a shareholder proxy battle over GE Aerospace's Israel defense sales has emerged as a governance flashpoint that could strain customer relationships or invite reputational scrutiny regardless of its outcome [5]. Rising engineering turnover among individual contributors, noted in recent employee reviews, is a soft signal worth monitoring as the company scales LEAP production toward 2,000 annual deliveries. The impact of the GE HealthCare and GE Vernova spinoffs makes historical 5-year growth trends not meaningful, requiring investors to underwrite the newer, narrower standalone entity on a shorter track record.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Defense &amp; Propulsion Technologies book-to-bill above 2.0x for a second consecutive quarter and record decade defense orders position the segment for accelerating multi-year revenue as the $210B+ total backlog converts [1]</w:t>
      </w:r>
    </w:p>
    <w:p>
      <w:pPr>
        <w:spacing w:before="40" w:after="40"/>
        <w:ind w:left="283"/>
      </w:pPr>
      <w:r>
        <w:rPr>
          <w:rFonts w:ascii="Calibri" w:hAnsi="Calibri"/>
          <w:b/>
          <w:color w:val="4A6B25"/>
          <w:sz w:val="20"/>
        </w:rPr>
        <w:t xml:space="preserve">2. </w:t>
      </w:r>
      <w:r>
        <w:rPr>
          <w:rFonts w:ascii="Calibri" w:hAnsi="Calibri"/>
          <w:b w:val="0"/>
          <w:color w:val="3A4A28"/>
          <w:sz w:val="20"/>
        </w:rPr>
        <w:t>LEAP engine delivery ramp toward a 2,000-unit 2026 target, combined with R&amp;D spend up 22% YoY funding RISE next-gen propulsion, sustains GE Aerospace's structural moat in narrowbody engines [1][6]</w:t>
      </w:r>
    </w:p>
    <w:p>
      <w:pPr>
        <w:spacing w:before="40" w:after="40"/>
        <w:ind w:left="283"/>
      </w:pPr>
      <w:r>
        <w:rPr>
          <w:rFonts w:ascii="Calibri" w:hAnsi="Calibri"/>
          <w:b/>
          <w:color w:val="4A6B25"/>
          <w:sz w:val="20"/>
        </w:rPr>
        <w:t xml:space="preserve">3. </w:t>
      </w:r>
      <w:r>
        <w:rPr>
          <w:rFonts w:ascii="Calibri" w:hAnsi="Calibri"/>
          <w:b w:val="0"/>
          <w:color w:val="3A4A28"/>
          <w:sz w:val="20"/>
        </w:rPr>
        <w:t>$170B commercial services backlog from an aging global fleet provides a multi-decade maintenance annuity largely insulated from near-term macro or AI disruption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34.44x and PEG of 1.91, while improved from 41.64x/2.40, still command a meaningful premium — any deceleration in orders or a broader aviation demand slowdown would likely trigger multiple compression [6]</w:t>
      </w:r>
    </w:p>
    <w:p>
      <w:pPr>
        <w:spacing w:before="40" w:after="40"/>
        <w:ind w:left="283"/>
      </w:pPr>
      <w:r>
        <w:rPr>
          <w:rFonts w:ascii="Calibri" w:hAnsi="Calibri"/>
          <w:b/>
          <w:color w:val="4A6B25"/>
          <w:sz w:val="20"/>
        </w:rPr>
        <w:t xml:space="preserve">2. </w:t>
      </w:r>
      <w:r>
        <w:rPr>
          <w:rFonts w:ascii="Calibri" w:hAnsi="Calibri"/>
          <w:b w:val="0"/>
          <w:color w:val="3A4A28"/>
          <w:sz w:val="20"/>
        </w:rPr>
        <w:t>Senior-executive insider selling (SVP and EVP transactions totaling ~$6.6M in July/August 2026) with no offsetting purchases is a soft but persistent signal worth monitoring [4]</w:t>
      </w:r>
    </w:p>
    <w:p>
      <w:pPr>
        <w:spacing w:before="40" w:after="40"/>
        <w:ind w:left="283"/>
      </w:pPr>
      <w:r>
        <w:rPr>
          <w:rFonts w:ascii="Calibri" w:hAnsi="Calibri"/>
          <w:b/>
          <w:color w:val="4A6B25"/>
          <w:sz w:val="20"/>
        </w:rPr>
        <w:t xml:space="preserve">3. </w:t>
      </w:r>
      <w:r>
        <w:rPr>
          <w:rFonts w:ascii="Calibri" w:hAnsi="Calibri"/>
          <w:b w:val="0"/>
          <w:color w:val="3A4A28"/>
          <w:sz w:val="20"/>
        </w:rPr>
        <w:t>A shareholder proxy battle over Israel defense contract sales and rising engineering turnover among individual contributors both represent governance and talent-retention risks that could affect execution as production scales [3][5]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GE Aerospace's core business — designing, certifying, and servicing jet engines — is a physical-world, deeply regulated operation (FAA/EASA certification, decades of metallurgical and safety expertise) that AI structurally cannot displace; CEO Culp explicitly frames AI as augmenting worker performance in manufacturing and maintenance rather than threatening the business [2]. The $170B commercial services backlog reflects decades-long maintenance annuities on an aging global fleet — demand that AI cannot erode and may indirectly increase by supporting broader economic and logistics activity. The August 2026 appointment of Anton Groom (formerly Merck's chief AI officer) as GE Aerospace's Chief Data &amp; AI Officer signals escalating AI investment in operations [2]. AI Opportunity (0/1): AI is deployed internally for manufacturing and maintenance performance, but GE Aerospace does not sell a quantifiable external AI product or report AI-attributable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 Aerospace Q1 2026 and Q2 2026 Earnings Releases, geaerospace.com, April/July 2026</w:t>
      </w:r>
    </w:p>
    <w:p>
      <w:pPr>
        <w:spacing w:before="20" w:after="20"/>
        <w:ind w:left="170"/>
      </w:pPr>
      <w:r>
        <w:rPr>
          <w:rFonts w:ascii="Calibri" w:hAnsi="Calibri"/>
          <w:b/>
          <w:color w:val="4A6B25"/>
          <w:sz w:val="15"/>
        </w:rPr>
        <w:t xml:space="preserve">2. </w:t>
      </w:r>
      <w:r>
        <w:rPr>
          <w:rFonts w:ascii="Calibri" w:hAnsi="Calibri"/>
          <w:b w:val="0"/>
          <w:color w:val="3A4A28"/>
          <w:sz w:val="17"/>
        </w:rPr>
        <w:t>GE Aerospace CEO Larry Culp — AI and workforce commentary, CNBC, T. Rowe Price 'The Long View', startuphub.ai, 2025-2026</w:t>
      </w:r>
    </w:p>
    <w:p>
      <w:pPr>
        <w:spacing w:before="20" w:after="20"/>
        <w:ind w:left="170"/>
      </w:pPr>
      <w:r>
        <w:rPr>
          <w:rFonts w:ascii="Calibri" w:hAnsi="Calibri"/>
          <w:b/>
          <w:color w:val="4A6B25"/>
          <w:sz w:val="15"/>
        </w:rPr>
        <w:t xml:space="preserve">3. </w:t>
      </w:r>
      <w:r>
        <w:rPr>
          <w:rFonts w:ascii="Calibri" w:hAnsi="Calibri"/>
          <w:b w:val="0"/>
          <w:color w:val="3A4A28"/>
          <w:sz w:val="17"/>
        </w:rPr>
        <w:t>GE Aerospace Foundation — 2025 Philanthropy Report, $30M workforce program, geaerospace.com</w:t>
      </w:r>
    </w:p>
    <w:p>
      <w:pPr>
        <w:spacing w:before="20" w:after="20"/>
        <w:ind w:left="170"/>
      </w:pPr>
      <w:r>
        <w:rPr>
          <w:rFonts w:ascii="Calibri" w:hAnsi="Calibri"/>
          <w:b/>
          <w:color w:val="4A6B25"/>
          <w:sz w:val="15"/>
        </w:rPr>
        <w:t xml:space="preserve">4. </w:t>
      </w:r>
      <w:r>
        <w:rPr>
          <w:rFonts w:ascii="Calibri" w:hAnsi="Calibri"/>
          <w:b w:val="0"/>
          <w:color w:val="3A4A28"/>
          <w:sz w:val="17"/>
        </w:rPr>
        <w:t>GE Aerospace insider transactions — TipRanks,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GE Aerospace ESG and shareholder proxy — Israel defense contract proposal, BriefGlance, 2026</w:t>
      </w:r>
    </w:p>
    <w:p>
      <w:pPr>
        <w:spacing w:before="20" w:after="20"/>
        <w:ind w:left="170"/>
      </w:pPr>
      <w:r>
        <w:rPr>
          <w:rFonts w:ascii="Calibri" w:hAnsi="Calibri"/>
          <w:b/>
          <w:color w:val="4A6B25"/>
          <w:sz w:val="15"/>
        </w:rPr>
        <w:t xml:space="preserve">6. </w:t>
      </w:r>
      <w:r>
        <w:rPr>
          <w:rFonts w:ascii="Calibri" w:hAnsi="Calibri"/>
          <w:b w:val="0"/>
          <w:color w:val="3A4A28"/>
          <w:sz w:val="17"/>
        </w:rPr>
        <w:t>StockAnalysis.com — GE statistics and financials, accessed August 26,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